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31" w:lineRule="exact"/>
        <w:rPr>
          <w:sz w:val="24"/>
          <w:szCs w:val="24"/>
          <w:color w:val="auto"/>
        </w:rPr>
      </w:pPr>
    </w:p>
    <w:p>
      <w:pPr>
        <w:ind w:left="300"/>
        <w:spacing w:after="0"/>
        <w:rPr>
          <w:sz w:val="20"/>
          <w:szCs w:val="20"/>
          <w:color w:val="auto"/>
        </w:rPr>
      </w:pPr>
      <w:r>
        <w:rPr>
          <w:rFonts w:ascii="Arial" w:cs="Arial" w:eastAsia="Arial" w:hAnsi="Arial"/>
          <w:sz w:val="16"/>
          <w:szCs w:val="16"/>
          <w:color w:val="auto"/>
        </w:rPr>
        <w:t>(Mark One)</w:t>
      </w:r>
    </w:p>
    <w:p>
      <w:pPr>
        <w:spacing w:after="0" w:line="154" w:lineRule="exact"/>
        <w:rPr>
          <w:sz w:val="24"/>
          <w:szCs w:val="24"/>
          <w:color w:val="auto"/>
        </w:rPr>
      </w:pPr>
    </w:p>
    <w:p>
      <w:pPr>
        <w:ind w:left="4160" w:right="2320" w:hanging="3599"/>
        <w:spacing w:after="0" w:line="213" w:lineRule="auto"/>
        <w:tabs>
          <w:tab w:leader="none" w:pos="1383" w:val="left"/>
        </w:tabs>
        <w:numPr>
          <w:ilvl w:val="0"/>
          <w:numId w:val="1"/>
        </w:numPr>
        <w:rPr>
          <w:rFonts w:ascii="MS PGothic" w:cs="MS PGothic" w:eastAsia="MS PGothic" w:hAnsi="MS PGothic"/>
          <w:sz w:val="29"/>
          <w:szCs w:val="29"/>
          <w:color w:val="auto"/>
        </w:rPr>
      </w:pPr>
      <w:r>
        <w:rPr>
          <w:rFonts w:ascii="Arial" w:cs="Arial" w:eastAsia="Arial" w:hAnsi="Arial"/>
          <w:sz w:val="16"/>
          <w:szCs w:val="16"/>
          <w:color w:val="auto"/>
        </w:rPr>
        <w:t>ANNUAL REPORT PURSUANT TO SECTION 13 OR 15(d) OF THE SECURITIES EXCHANGE ACT OF 1934 For the fiscal year ended December 31, 2021</w:t>
      </w:r>
    </w:p>
    <w:p>
      <w:pPr>
        <w:spacing w:after="0" w:line="7" w:lineRule="exact"/>
        <w:rPr>
          <w:rFonts w:ascii="MS PGothic" w:cs="MS PGothic" w:eastAsia="MS PGothic" w:hAnsi="MS PGothic"/>
          <w:sz w:val="29"/>
          <w:szCs w:val="29"/>
          <w:color w:val="auto"/>
        </w:rPr>
      </w:pPr>
    </w:p>
    <w:p>
      <w:pPr>
        <w:ind w:left="5500"/>
        <w:spacing w:after="0"/>
        <w:rPr>
          <w:rFonts w:ascii="MS PGothic" w:cs="MS PGothic" w:eastAsia="MS PGothic" w:hAnsi="MS PGothic"/>
          <w:sz w:val="29"/>
          <w:szCs w:val="29"/>
          <w:color w:val="auto"/>
        </w:rPr>
      </w:pPr>
      <w:r>
        <w:rPr>
          <w:rFonts w:ascii="Arial" w:cs="Arial" w:eastAsia="Arial" w:hAnsi="Arial"/>
          <w:sz w:val="16"/>
          <w:szCs w:val="16"/>
          <w:b w:val="1"/>
          <w:bCs w:val="1"/>
          <w:color w:val="auto"/>
        </w:rPr>
        <w:t>OR</w:t>
      </w:r>
    </w:p>
    <w:p>
      <w:pPr>
        <w:spacing w:after="0" w:line="74" w:lineRule="exact"/>
        <w:rPr>
          <w:sz w:val="24"/>
          <w:szCs w:val="24"/>
          <w:color w:val="auto"/>
        </w:rPr>
      </w:pPr>
    </w:p>
    <w:p>
      <w:pPr>
        <w:ind w:left="1380" w:hanging="819"/>
        <w:spacing w:after="0"/>
        <w:tabs>
          <w:tab w:leader="none" w:pos="1380" w:val="left"/>
        </w:tabs>
        <w:numPr>
          <w:ilvl w:val="0"/>
          <w:numId w:val="2"/>
        </w:numPr>
        <w:rPr>
          <w:rFonts w:ascii="MS PGothic" w:cs="MS PGothic" w:eastAsia="MS PGothic" w:hAnsi="MS PGothic"/>
          <w:sz w:val="29"/>
          <w:szCs w:val="29"/>
          <w:color w:val="auto"/>
        </w:rPr>
      </w:pPr>
      <w:r>
        <w:rPr>
          <w:rFonts w:ascii="Arial" w:cs="Arial" w:eastAsia="Arial" w:hAnsi="Arial"/>
          <w:sz w:val="16"/>
          <w:szCs w:val="16"/>
          <w:color w:val="auto"/>
        </w:rPr>
        <w:t>TRANSITION REPORT PURSUANT TO SECTION 13 OR 15(d) OF THE SECURITIES EXCHANGE ACT OF 1934</w:t>
      </w:r>
    </w:p>
    <w:p>
      <w:pPr>
        <w:spacing w:after="0" w:line="73"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For the transition period from</w:t>
      </w:r>
      <w:r>
        <w:rPr>
          <w:rFonts w:ascii="Arial" w:cs="Arial" w:eastAsia="Arial" w:hAnsi="Arial"/>
          <w:sz w:val="16"/>
          <w:szCs w:val="16"/>
          <w:b w:val="1"/>
          <w:bCs w:val="1"/>
          <w:u w:val="single" w:color="auto"/>
          <w:color w:val="auto"/>
        </w:rPr>
        <w:t>_________</w:t>
      </w:r>
      <w:r>
        <w:rPr>
          <w:rFonts w:ascii="Arial" w:cs="Arial" w:eastAsia="Arial" w:hAnsi="Arial"/>
          <w:sz w:val="16"/>
          <w:szCs w:val="16"/>
          <w:b w:val="1"/>
          <w:bCs w:val="1"/>
          <w:color w:val="auto"/>
        </w:rPr>
        <w:t xml:space="preserve">to </w:t>
      </w:r>
      <w:r>
        <w:rPr>
          <w:rFonts w:ascii="Arial" w:cs="Arial" w:eastAsia="Arial" w:hAnsi="Arial"/>
          <w:sz w:val="16"/>
          <w:szCs w:val="16"/>
          <w:b w:val="1"/>
          <w:bCs w:val="1"/>
          <w:u w:val="single" w:color="auto"/>
          <w:color w:val="auto"/>
        </w:rPr>
        <w:t>________</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001-39797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Upstart Holdings,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5"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253" w:lineRule="exact"/>
        <w:rPr>
          <w:sz w:val="24"/>
          <w:szCs w:val="24"/>
          <w:color w:val="auto"/>
        </w:rPr>
      </w:pPr>
    </w:p>
    <w:tbl>
      <w:tblPr>
        <w:tblLayout w:type="fixed"/>
        <w:tblInd w:w="2000" w:type="dxa"/>
        <w:tblCellMar>
          <w:top w:w="0" w:type="dxa"/>
          <w:left w:w="0" w:type="dxa"/>
          <w:bottom w:w="0" w:type="dxa"/>
          <w:right w:w="0" w:type="dxa"/>
        </w:tblCellMar>
      </w:tblPr>
      <w:tr>
        <w:trPr>
          <w:trHeight w:val="184"/>
        </w:trPr>
        <w:tc>
          <w:tcPr>
            <w:tcW w:w="4020" w:type="dxa"/>
            <w:vAlign w:val="bottom"/>
          </w:tcPr>
          <w:p>
            <w:pPr>
              <w:jc w:val="center"/>
              <w:ind w:right="1979"/>
              <w:spacing w:after="0"/>
              <w:rPr>
                <w:sz w:val="20"/>
                <w:szCs w:val="20"/>
                <w:color w:val="auto"/>
              </w:rPr>
            </w:pPr>
            <w:r>
              <w:rPr>
                <w:rFonts w:ascii="Arial" w:cs="Arial" w:eastAsia="Arial" w:hAnsi="Arial"/>
                <w:sz w:val="16"/>
                <w:szCs w:val="16"/>
                <w:b w:val="1"/>
                <w:bCs w:val="1"/>
                <w:color w:val="auto"/>
                <w:w w:val="91"/>
              </w:rPr>
              <w:t>Delaware</w:t>
            </w:r>
          </w:p>
        </w:tc>
        <w:tc>
          <w:tcPr>
            <w:tcW w:w="3260" w:type="dxa"/>
            <w:vAlign w:val="bottom"/>
          </w:tcPr>
          <w:p>
            <w:pPr>
              <w:jc w:val="center"/>
              <w:ind w:left="1999"/>
              <w:spacing w:after="0"/>
              <w:rPr>
                <w:sz w:val="20"/>
                <w:szCs w:val="20"/>
                <w:color w:val="auto"/>
              </w:rPr>
            </w:pPr>
            <w:r>
              <w:rPr>
                <w:rFonts w:ascii="Arial" w:cs="Arial" w:eastAsia="Arial" w:hAnsi="Arial"/>
                <w:sz w:val="16"/>
                <w:szCs w:val="16"/>
                <w:b w:val="1"/>
                <w:bCs w:val="1"/>
                <w:color w:val="auto"/>
                <w:w w:val="91"/>
              </w:rPr>
              <w:t>46-4332431</w:t>
            </w:r>
          </w:p>
        </w:tc>
      </w:tr>
      <w:tr>
        <w:trPr>
          <w:trHeight w:val="162"/>
        </w:trPr>
        <w:tc>
          <w:tcPr>
            <w:tcW w:w="4020" w:type="dxa"/>
            <w:vAlign w:val="bottom"/>
          </w:tcPr>
          <w:p>
            <w:pPr>
              <w:jc w:val="center"/>
              <w:ind w:right="1979"/>
              <w:spacing w:after="0" w:line="162" w:lineRule="exact"/>
              <w:rPr>
                <w:sz w:val="20"/>
                <w:szCs w:val="20"/>
                <w:color w:val="auto"/>
              </w:rPr>
            </w:pPr>
            <w:r>
              <w:rPr>
                <w:rFonts w:ascii="Arial" w:cs="Arial" w:eastAsia="Arial" w:hAnsi="Arial"/>
                <w:sz w:val="16"/>
                <w:szCs w:val="16"/>
                <w:color w:val="auto"/>
                <w:w w:val="93"/>
              </w:rPr>
              <w:t>(State or other jurisdiction of</w:t>
            </w:r>
          </w:p>
        </w:tc>
        <w:tc>
          <w:tcPr>
            <w:tcW w:w="3260" w:type="dxa"/>
            <w:vAlign w:val="bottom"/>
          </w:tcPr>
          <w:p>
            <w:pPr>
              <w:jc w:val="center"/>
              <w:ind w:left="1979"/>
              <w:spacing w:after="0" w:line="162" w:lineRule="exact"/>
              <w:rPr>
                <w:sz w:val="20"/>
                <w:szCs w:val="20"/>
                <w:color w:val="auto"/>
              </w:rPr>
            </w:pPr>
            <w:r>
              <w:rPr>
                <w:rFonts w:ascii="Arial" w:cs="Arial" w:eastAsia="Arial" w:hAnsi="Arial"/>
                <w:sz w:val="16"/>
                <w:szCs w:val="16"/>
                <w:color w:val="auto"/>
                <w:w w:val="95"/>
              </w:rPr>
              <w:t>(I.R.S. Employer</w:t>
            </w:r>
          </w:p>
        </w:tc>
      </w:tr>
      <w:tr>
        <w:trPr>
          <w:trHeight w:val="206"/>
        </w:trPr>
        <w:tc>
          <w:tcPr>
            <w:tcW w:w="4020" w:type="dxa"/>
            <w:vAlign w:val="bottom"/>
          </w:tcPr>
          <w:p>
            <w:pPr>
              <w:jc w:val="center"/>
              <w:ind w:right="1979"/>
              <w:spacing w:after="0"/>
              <w:rPr>
                <w:sz w:val="20"/>
                <w:szCs w:val="20"/>
                <w:color w:val="auto"/>
              </w:rPr>
            </w:pPr>
            <w:r>
              <w:rPr>
                <w:rFonts w:ascii="Arial" w:cs="Arial" w:eastAsia="Arial" w:hAnsi="Arial"/>
                <w:sz w:val="16"/>
                <w:szCs w:val="16"/>
                <w:color w:val="auto"/>
                <w:w w:val="94"/>
              </w:rPr>
              <w:t>incorporation or organization)</w:t>
            </w:r>
          </w:p>
        </w:tc>
        <w:tc>
          <w:tcPr>
            <w:tcW w:w="3260" w:type="dxa"/>
            <w:vAlign w:val="bottom"/>
          </w:tcPr>
          <w:p>
            <w:pPr>
              <w:jc w:val="center"/>
              <w:ind w:left="1979"/>
              <w:spacing w:after="0"/>
              <w:rPr>
                <w:sz w:val="20"/>
                <w:szCs w:val="20"/>
                <w:color w:val="auto"/>
              </w:rPr>
            </w:pPr>
            <w:r>
              <w:rPr>
                <w:rFonts w:ascii="Arial" w:cs="Arial" w:eastAsia="Arial" w:hAnsi="Arial"/>
                <w:sz w:val="16"/>
                <w:szCs w:val="16"/>
                <w:color w:val="auto"/>
                <w:w w:val="96"/>
              </w:rPr>
              <w:t>Identification No.)</w:t>
            </w:r>
          </w:p>
        </w:tc>
      </w:tr>
    </w:tbl>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Upstart Holdings,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2950 S. Delaware Street, Suite 300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Mateo, California 94403</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(650) 204-1000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6"/>
          <w:szCs w:val="16"/>
          <w:color w:val="auto"/>
        </w:rPr>
        <w:t>_________________________</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8"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2380" w:type="dxa"/>
            <w:vAlign w:val="bottom"/>
            <w:gridSpan w:val="2"/>
          </w:tcPr>
          <w:p>
            <w:pPr>
              <w:jc w:val="center"/>
              <w:ind w:right="1300"/>
              <w:spacing w:after="0"/>
              <w:rPr>
                <w:sz w:val="20"/>
                <w:szCs w:val="20"/>
                <w:color w:val="auto"/>
              </w:rPr>
            </w:pPr>
            <w:r>
              <w:rPr>
                <w:rFonts w:ascii="Arial" w:cs="Arial" w:eastAsia="Arial" w:hAnsi="Arial"/>
                <w:sz w:val="14"/>
                <w:szCs w:val="14"/>
                <w:color w:val="auto"/>
                <w:w w:val="93"/>
              </w:rPr>
              <w:t>Title of each class:</w:t>
            </w:r>
          </w:p>
        </w:tc>
        <w:tc>
          <w:tcPr>
            <w:tcW w:w="2620" w:type="dxa"/>
            <w:vAlign w:val="bottom"/>
            <w:gridSpan w:val="3"/>
          </w:tcPr>
          <w:p>
            <w:pPr>
              <w:jc w:val="center"/>
              <w:ind w:right="540"/>
              <w:spacing w:after="0"/>
              <w:rPr>
                <w:sz w:val="20"/>
                <w:szCs w:val="20"/>
                <w:color w:val="auto"/>
              </w:rPr>
            </w:pPr>
            <w:r>
              <w:rPr>
                <w:rFonts w:ascii="Arial" w:cs="Arial" w:eastAsia="Arial" w:hAnsi="Arial"/>
                <w:sz w:val="14"/>
                <w:szCs w:val="14"/>
                <w:color w:val="auto"/>
                <w:w w:val="93"/>
              </w:rPr>
              <w:t>Trading Symbol</w:t>
            </w:r>
          </w:p>
        </w:tc>
        <w:tc>
          <w:tcPr>
            <w:tcW w:w="260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198"/>
        </w:trPr>
        <w:tc>
          <w:tcPr>
            <w:tcW w:w="312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Common Stock, par value $0.0001 per share</w:t>
            </w:r>
          </w:p>
        </w:tc>
        <w:tc>
          <w:tcPr>
            <w:tcW w:w="580" w:type="dxa"/>
            <w:vAlign w:val="bottom"/>
          </w:tcPr>
          <w:p>
            <w:pPr>
              <w:spacing w:after="0"/>
              <w:rPr>
                <w:sz w:val="17"/>
                <w:szCs w:val="17"/>
                <w:color w:val="auto"/>
              </w:rPr>
            </w:pPr>
          </w:p>
        </w:tc>
        <w:tc>
          <w:tcPr>
            <w:tcW w:w="2040" w:type="dxa"/>
            <w:vAlign w:val="bottom"/>
            <w:gridSpan w:val="2"/>
          </w:tcPr>
          <w:p>
            <w:pPr>
              <w:jc w:val="center"/>
              <w:ind w:right="1120"/>
              <w:spacing w:after="0"/>
              <w:rPr>
                <w:sz w:val="20"/>
                <w:szCs w:val="20"/>
                <w:color w:val="auto"/>
              </w:rPr>
            </w:pPr>
            <w:r>
              <w:rPr>
                <w:rFonts w:ascii="Arial" w:cs="Arial" w:eastAsia="Arial" w:hAnsi="Arial"/>
                <w:sz w:val="14"/>
                <w:szCs w:val="14"/>
                <w:color w:val="auto"/>
                <w:w w:val="96"/>
              </w:rPr>
              <w:t>UPST</w:t>
            </w:r>
          </w:p>
        </w:tc>
        <w:tc>
          <w:tcPr>
            <w:tcW w:w="260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bl>
    <w:p>
      <w:pPr>
        <w:spacing w:after="0" w:line="155" w:lineRule="exact"/>
        <w:rPr>
          <w:sz w:val="24"/>
          <w:szCs w:val="24"/>
          <w:color w:val="auto"/>
        </w:rPr>
      </w:pPr>
    </w:p>
    <w:p>
      <w:pPr>
        <w:ind w:right="3560"/>
        <w:spacing w:after="0" w:line="24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ind w:right="2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0" w:lineRule="exact"/>
        <w:rPr>
          <w:sz w:val="24"/>
          <w:szCs w:val="24"/>
          <w:color w:val="auto"/>
        </w:rPr>
      </w:pPr>
    </w:p>
    <w:p>
      <w:pPr>
        <w:ind w:right="2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8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0"/>
          <w:szCs w:val="20"/>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2021, the last business day of the registrant’s most recently completed second fiscal quarter, was $6,665,013,220 based on the closing price reported for such date on the New York Stock Exchange. Shares of the registrant’s common stock held by each executive officer, director and holder of 10% or more of the outstanding common stock have been excluded in that such persons may be deemed to be affiliates. This calculation does not reflect a determination that certain persons are affiliates of the registrant for any other purpose.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11, 2022 there were 84,056,131 shares of the registrant’s common stock outstanding.</w:t>
      </w:r>
    </w:p>
    <w:p>
      <w:pPr>
        <w:spacing w:after="0" w:line="105"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Portions of the registrant’s Definitive Proxy Statement relating to the 2022 Annual Meeting of Stockholders are incorporated by reference into Part II and III of this Annual Report on Form 10-K to the extent stated herein. Such Definitive Proxy Statement will be filed with the Securities and Exchange Commission within 120 days after the end of the registrant’s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40" w:type="dxa"/>
            <w:vAlign w:val="bottom"/>
            <w:gridSpan w:val="10"/>
          </w:tcPr>
          <w:p>
            <w:pPr>
              <w:jc w:val="center"/>
              <w:ind w:right="3480"/>
              <w:spacing w:after="0"/>
              <w:rPr>
                <w:sz w:val="20"/>
                <w:szCs w:val="20"/>
                <w:color w:val="auto"/>
              </w:rPr>
            </w:pPr>
            <w:r>
              <w:rPr>
                <w:rFonts w:ascii="Arial" w:cs="Arial" w:eastAsia="Arial" w:hAnsi="Arial"/>
                <w:sz w:val="18"/>
                <w:szCs w:val="18"/>
                <w:b w:val="1"/>
                <w:bCs w:val="1"/>
                <w:color w:val="auto"/>
                <w:w w:val="92"/>
              </w:rPr>
              <w:t>Upstart Holdings, Inc.</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160" w:type="dxa"/>
            <w:vAlign w:val="bottom"/>
            <w:gridSpan w:val="8"/>
          </w:tcPr>
          <w:p>
            <w:pPr>
              <w:jc w:val="center"/>
              <w:ind w:right="3940"/>
              <w:spacing w:after="0"/>
              <w:rPr>
                <w:sz w:val="20"/>
                <w:szCs w:val="20"/>
                <w:color w:val="auto"/>
              </w:rPr>
            </w:pPr>
            <w:r>
              <w:rPr>
                <w:rFonts w:ascii="Arial" w:cs="Arial" w:eastAsia="Arial" w:hAnsi="Arial"/>
                <w:sz w:val="18"/>
                <w:szCs w:val="18"/>
                <w:b w:val="1"/>
                <w:bCs w:val="1"/>
                <w:color w:val="auto"/>
              </w:rPr>
              <w:t>FORM 10-K</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40" w:type="dxa"/>
            <w:vAlign w:val="bottom"/>
            <w:gridSpan w:val="10"/>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16"/>
        </w:trPr>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16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660" w:type="dxa"/>
            <w:vAlign w:val="bottom"/>
          </w:tcPr>
          <w:p>
            <w:pPr>
              <w:ind w:left="340"/>
              <w:spacing w:after="0" w:line="190" w:lineRule="exact"/>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8500" w:type="dxa"/>
            <w:vAlign w:val="bottom"/>
            <w:gridSpan w:val="20"/>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060" w:type="dxa"/>
            <w:vAlign w:val="bottom"/>
          </w:tcPr>
          <w:p>
            <w:pPr>
              <w:jc w:val="right"/>
              <w:spacing w:after="0" w:line="190" w:lineRule="exact"/>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ind w:left="340"/>
              <w:spacing w:after="0"/>
              <w:rPr>
                <w:rFonts w:ascii="Arial" w:cs="Arial" w:eastAsia="Arial" w:hAnsi="Arial"/>
                <w:sz w:val="18"/>
                <w:szCs w:val="18"/>
                <w:color w:val="auto"/>
              </w:rPr>
            </w:pPr>
            <w:hyperlink w:anchor="page24">
              <w:r>
                <w:rPr>
                  <w:rFonts w:ascii="Arial" w:cs="Arial" w:eastAsia="Arial" w:hAnsi="Arial"/>
                  <w:sz w:val="18"/>
                  <w:szCs w:val="18"/>
                  <w:color w:val="auto"/>
                </w:rPr>
                <w:t>Item 1A.</w:t>
              </w:r>
            </w:hyperlink>
          </w:p>
        </w:tc>
        <w:tc>
          <w:tcPr>
            <w:tcW w:w="9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Risk Factors</w:t>
              </w:r>
            </w:hyperlink>
          </w:p>
        </w:tc>
        <w:tc>
          <w:tcPr>
            <w:tcW w:w="7580" w:type="dxa"/>
            <w:vAlign w:val="bottom"/>
            <w:gridSpan w:val="17"/>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rFonts w:ascii="Arial" w:cs="Arial" w:eastAsia="Arial" w:hAnsi="Arial"/>
                <w:sz w:val="18"/>
                <w:szCs w:val="18"/>
                <w:color w:val="auto"/>
              </w:rPr>
            </w:pPr>
            <w:hyperlink w:anchor="page80">
              <w:r>
                <w:rPr>
                  <w:rFonts w:ascii="Arial" w:cs="Arial" w:eastAsia="Arial" w:hAnsi="Arial"/>
                  <w:sz w:val="18"/>
                  <w:szCs w:val="18"/>
                  <w:color w:val="auto"/>
                </w:rPr>
                <w:t>Item 1B.</w:t>
              </w:r>
            </w:hyperlink>
          </w:p>
        </w:tc>
        <w:tc>
          <w:tcPr>
            <w:tcW w:w="206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80">
              <w:r>
                <w:rPr>
                  <w:rFonts w:ascii="Arial" w:cs="Arial" w:eastAsia="Arial" w:hAnsi="Arial"/>
                  <w:sz w:val="18"/>
                  <w:szCs w:val="18"/>
                  <w:color w:val="0000FF"/>
                  <w:w w:val="90"/>
                </w:rPr>
                <w:t>Unresolved Staff Comments</w:t>
              </w:r>
            </w:hyperlink>
          </w:p>
        </w:tc>
        <w:tc>
          <w:tcPr>
            <w:tcW w:w="6440" w:type="dxa"/>
            <w:vAlign w:val="bottom"/>
            <w:gridSpan w:val="11"/>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rFonts w:ascii="Arial" w:cs="Arial" w:eastAsia="Arial" w:hAnsi="Arial"/>
                <w:sz w:val="18"/>
                <w:szCs w:val="18"/>
                <w:color w:val="auto"/>
              </w:rPr>
            </w:pPr>
            <w:hyperlink w:anchor="page81">
              <w:r>
                <w:rPr>
                  <w:rFonts w:ascii="Arial" w:cs="Arial" w:eastAsia="Arial" w:hAnsi="Arial"/>
                  <w:sz w:val="18"/>
                  <w:szCs w:val="18"/>
                  <w:color w:val="auto"/>
                </w:rPr>
                <w:t>Item 2.</w:t>
              </w:r>
            </w:hyperlink>
          </w:p>
        </w:tc>
        <w:tc>
          <w:tcPr>
            <w:tcW w:w="74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81">
              <w:r>
                <w:rPr>
                  <w:rFonts w:ascii="Arial" w:cs="Arial" w:eastAsia="Arial" w:hAnsi="Arial"/>
                  <w:sz w:val="18"/>
                  <w:szCs w:val="18"/>
                  <w:color w:val="0000FF"/>
                  <w:w w:val="87"/>
                </w:rPr>
                <w:t>Properties</w:t>
              </w:r>
            </w:hyperlink>
          </w:p>
        </w:tc>
        <w:tc>
          <w:tcPr>
            <w:tcW w:w="7760" w:type="dxa"/>
            <w:vAlign w:val="bottom"/>
            <w:gridSpan w:val="18"/>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rFonts w:ascii="Arial" w:cs="Arial" w:eastAsia="Arial" w:hAnsi="Arial"/>
                <w:sz w:val="18"/>
                <w:szCs w:val="18"/>
                <w:color w:val="auto"/>
              </w:rPr>
            </w:pPr>
            <w:hyperlink w:anchor="page81">
              <w:r>
                <w:rPr>
                  <w:rFonts w:ascii="Arial" w:cs="Arial" w:eastAsia="Arial" w:hAnsi="Arial"/>
                  <w:sz w:val="18"/>
                  <w:szCs w:val="18"/>
                  <w:color w:val="auto"/>
                </w:rPr>
                <w:t>Item 3.</w:t>
              </w:r>
            </w:hyperlink>
          </w:p>
        </w:tc>
        <w:tc>
          <w:tcPr>
            <w:tcW w:w="8500" w:type="dxa"/>
            <w:vAlign w:val="bottom"/>
            <w:gridSpan w:val="20"/>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Legal Proceedings</w:t>
              </w:r>
            </w:hyperlink>
          </w:p>
        </w:tc>
        <w:tc>
          <w:tcPr>
            <w:tcW w:w="106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tcPr>
          <w:p>
            <w:pPr>
              <w:ind w:left="340"/>
              <w:spacing w:after="0"/>
              <w:rPr>
                <w:rFonts w:ascii="Arial" w:cs="Arial" w:eastAsia="Arial" w:hAnsi="Arial"/>
                <w:sz w:val="18"/>
                <w:szCs w:val="18"/>
                <w:color w:val="auto"/>
              </w:rPr>
            </w:pPr>
            <w:hyperlink w:anchor="page81">
              <w:r>
                <w:rPr>
                  <w:rFonts w:ascii="Arial" w:cs="Arial" w:eastAsia="Arial" w:hAnsi="Arial"/>
                  <w:sz w:val="18"/>
                  <w:szCs w:val="18"/>
                  <w:color w:val="auto"/>
                </w:rPr>
                <w:t>Item 4.</w:t>
              </w:r>
            </w:hyperlink>
          </w:p>
        </w:tc>
        <w:tc>
          <w:tcPr>
            <w:tcW w:w="8500" w:type="dxa"/>
            <w:vAlign w:val="bottom"/>
            <w:gridSpan w:val="20"/>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Mine Safety Disclosures</w:t>
              </w:r>
            </w:hyperlink>
          </w:p>
        </w:tc>
        <w:tc>
          <w:tcPr>
            <w:tcW w:w="106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519"/>
        </w:trPr>
        <w:tc>
          <w:tcPr>
            <w:tcW w:w="16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660" w:type="dxa"/>
            <w:vAlign w:val="bottom"/>
          </w:tcPr>
          <w:p>
            <w:pPr>
              <w:ind w:left="340"/>
              <w:spacing w:after="0" w:line="190" w:lineRule="exact"/>
              <w:rPr>
                <w:rFonts w:ascii="Arial" w:cs="Arial" w:eastAsia="Arial" w:hAnsi="Arial"/>
                <w:sz w:val="18"/>
                <w:szCs w:val="18"/>
                <w:color w:val="auto"/>
              </w:rPr>
            </w:pPr>
            <w:hyperlink w:anchor="page81">
              <w:r>
                <w:rPr>
                  <w:rFonts w:ascii="Arial" w:cs="Arial" w:eastAsia="Arial" w:hAnsi="Arial"/>
                  <w:sz w:val="18"/>
                  <w:szCs w:val="18"/>
                  <w:color w:val="auto"/>
                </w:rPr>
                <w:t>Item 5.</w:t>
              </w:r>
            </w:hyperlink>
          </w:p>
        </w:tc>
        <w:tc>
          <w:tcPr>
            <w:tcW w:w="4360" w:type="dxa"/>
            <w:vAlign w:val="bottom"/>
            <w:tcBorders>
              <w:bottom w:val="single" w:sz="8" w:color="0000FF"/>
            </w:tcBorders>
            <w:gridSpan w:val="14"/>
          </w:tcPr>
          <w:p>
            <w:pPr>
              <w:spacing w:after="0" w:line="190"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Unregistered Sales of Equity Securities and Use of Proceeds</w:t>
              </w:r>
            </w:hyperlink>
          </w:p>
        </w:tc>
        <w:tc>
          <w:tcPr>
            <w:tcW w:w="4140" w:type="dxa"/>
            <w:vAlign w:val="bottom"/>
            <w:gridSpan w:val="6"/>
          </w:tcPr>
          <w:p>
            <w:pPr>
              <w:spacing w:after="0"/>
              <w:rPr>
                <w:sz w:val="16"/>
                <w:szCs w:val="16"/>
                <w:color w:val="auto"/>
              </w:rPr>
            </w:pPr>
          </w:p>
        </w:tc>
        <w:tc>
          <w:tcPr>
            <w:tcW w:w="1060" w:type="dxa"/>
            <w:vAlign w:val="bottom"/>
          </w:tcPr>
          <w:p>
            <w:pPr>
              <w:jc w:val="right"/>
              <w:spacing w:after="0" w:line="190" w:lineRule="exact"/>
              <w:rPr>
                <w:rFonts w:ascii="Arial" w:cs="Arial" w:eastAsia="Arial" w:hAnsi="Arial"/>
                <w:sz w:val="18"/>
                <w:szCs w:val="18"/>
                <w:color w:val="auto"/>
              </w:rPr>
            </w:pPr>
            <w:hyperlink w:anchor="page81">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rFonts w:ascii="Arial" w:cs="Arial" w:eastAsia="Arial" w:hAnsi="Arial"/>
                <w:sz w:val="18"/>
                <w:szCs w:val="18"/>
                <w:color w:val="auto"/>
              </w:rPr>
            </w:pPr>
            <w:hyperlink w:anchor="page83">
              <w:r>
                <w:rPr>
                  <w:rFonts w:ascii="Arial" w:cs="Arial" w:eastAsia="Arial" w:hAnsi="Arial"/>
                  <w:sz w:val="18"/>
                  <w:szCs w:val="18"/>
                  <w:color w:val="auto"/>
                </w:rPr>
                <w:t>Item 6.</w:t>
              </w:r>
            </w:hyperlink>
          </w:p>
        </w:tc>
        <w:tc>
          <w:tcPr>
            <w:tcW w:w="8500" w:type="dxa"/>
            <w:vAlign w:val="bottom"/>
            <w:gridSpan w:val="20"/>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[RESERVED]</w:t>
              </w:r>
            </w:hyperlink>
          </w:p>
        </w:tc>
        <w:tc>
          <w:tcPr>
            <w:tcW w:w="106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ind w:left="340"/>
              <w:spacing w:after="0"/>
              <w:rPr>
                <w:rFonts w:ascii="Arial" w:cs="Arial" w:eastAsia="Arial" w:hAnsi="Arial"/>
                <w:sz w:val="18"/>
                <w:szCs w:val="18"/>
                <w:color w:val="auto"/>
              </w:rPr>
            </w:pPr>
            <w:hyperlink w:anchor="page83">
              <w:r>
                <w:rPr>
                  <w:rFonts w:ascii="Arial" w:cs="Arial" w:eastAsia="Arial" w:hAnsi="Arial"/>
                  <w:sz w:val="18"/>
                  <w:szCs w:val="18"/>
                  <w:color w:val="auto"/>
                </w:rPr>
                <w:t>Item 7.</w:t>
              </w:r>
            </w:hyperlink>
          </w:p>
        </w:tc>
        <w:tc>
          <w:tcPr>
            <w:tcW w:w="8500" w:type="dxa"/>
            <w:vAlign w:val="bottom"/>
            <w:gridSpan w:val="20"/>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Management’s Discussion and Analysis of Financial Condition and Results of Operations</w:t>
              </w:r>
            </w:hyperlink>
          </w:p>
        </w:tc>
        <w:tc>
          <w:tcPr>
            <w:tcW w:w="106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rFonts w:ascii="Arial" w:cs="Arial" w:eastAsia="Arial" w:hAnsi="Arial"/>
                <w:sz w:val="18"/>
                <w:szCs w:val="18"/>
                <w:color w:val="auto"/>
              </w:rPr>
            </w:pPr>
            <w:hyperlink w:anchor="page101">
              <w:r>
                <w:rPr>
                  <w:rFonts w:ascii="Arial" w:cs="Arial" w:eastAsia="Arial" w:hAnsi="Arial"/>
                  <w:sz w:val="18"/>
                  <w:szCs w:val="18"/>
                  <w:color w:val="auto"/>
                </w:rPr>
                <w:t>Item 7A.</w:t>
              </w:r>
            </w:hyperlink>
          </w:p>
        </w:tc>
        <w:tc>
          <w:tcPr>
            <w:tcW w:w="6460" w:type="dxa"/>
            <w:vAlign w:val="bottom"/>
            <w:tcBorders>
              <w:top w:val="single" w:sz="8" w:color="0000FF"/>
            </w:tcBorders>
            <w:gridSpan w:val="17"/>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Quantitative and Qualitative Disclosures About Market Risk</w:t>
              </w:r>
            </w:hyperlink>
          </w:p>
        </w:tc>
        <w:tc>
          <w:tcPr>
            <w:tcW w:w="2040" w:type="dxa"/>
            <w:vAlign w:val="bottom"/>
            <w:gridSpan w:val="3"/>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102</w:t>
              </w:r>
            </w:hyperlink>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rFonts w:ascii="Arial" w:cs="Arial" w:eastAsia="Arial" w:hAnsi="Arial"/>
                <w:sz w:val="18"/>
                <w:szCs w:val="18"/>
                <w:color w:val="auto"/>
              </w:rPr>
            </w:pPr>
            <w:hyperlink w:anchor="page103">
              <w:r>
                <w:rPr>
                  <w:rFonts w:ascii="Arial" w:cs="Arial" w:eastAsia="Arial" w:hAnsi="Arial"/>
                  <w:sz w:val="18"/>
                  <w:szCs w:val="18"/>
                  <w:color w:val="auto"/>
                </w:rPr>
                <w:t>Item 8.</w:t>
              </w:r>
            </w:hyperlink>
          </w:p>
        </w:tc>
        <w:tc>
          <w:tcPr>
            <w:tcW w:w="334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9"/>
              </w:rPr>
            </w:pPr>
            <w:hyperlink w:anchor="page103">
              <w:r>
                <w:rPr>
                  <w:rFonts w:ascii="Arial" w:cs="Arial" w:eastAsia="Arial" w:hAnsi="Arial"/>
                  <w:sz w:val="18"/>
                  <w:szCs w:val="18"/>
                  <w:color w:val="0000FF"/>
                  <w:w w:val="89"/>
                </w:rPr>
                <w:t>Financial Statements and Supplementary Data</w:t>
              </w:r>
            </w:hyperlink>
          </w:p>
        </w:tc>
        <w:tc>
          <w:tcPr>
            <w:tcW w:w="1020" w:type="dxa"/>
            <w:vAlign w:val="bottom"/>
            <w:tcBorders>
              <w:top w:val="single" w:sz="8" w:color="0000FF"/>
            </w:tcBorders>
            <w:gridSpan w:val="2"/>
          </w:tcPr>
          <w:p>
            <w:pPr>
              <w:spacing w:after="0"/>
              <w:rPr>
                <w:sz w:val="18"/>
                <w:szCs w:val="18"/>
                <w:color w:val="auto"/>
              </w:rPr>
            </w:pPr>
          </w:p>
        </w:tc>
        <w:tc>
          <w:tcPr>
            <w:tcW w:w="4140" w:type="dxa"/>
            <w:vAlign w:val="bottom"/>
            <w:gridSpan w:val="6"/>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03">
              <w:r>
                <w:rPr>
                  <w:rFonts w:ascii="Arial" w:cs="Arial" w:eastAsia="Arial" w:hAnsi="Arial"/>
                  <w:sz w:val="18"/>
                  <w:szCs w:val="18"/>
                  <w:color w:val="auto"/>
                </w:rPr>
                <w:t>104</w:t>
              </w:r>
            </w:hyperlink>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rFonts w:ascii="Arial" w:cs="Arial" w:eastAsia="Arial" w:hAnsi="Arial"/>
                <w:sz w:val="18"/>
                <w:szCs w:val="18"/>
                <w:color w:val="auto"/>
              </w:rPr>
            </w:pPr>
            <w:hyperlink w:anchor="page156">
              <w:r>
                <w:rPr>
                  <w:rFonts w:ascii="Arial" w:cs="Arial" w:eastAsia="Arial" w:hAnsi="Arial"/>
                  <w:sz w:val="18"/>
                  <w:szCs w:val="18"/>
                  <w:color w:val="auto"/>
                </w:rPr>
                <w:t>Item 9.</w:t>
              </w:r>
            </w:hyperlink>
          </w:p>
        </w:tc>
        <w:tc>
          <w:tcPr>
            <w:tcW w:w="8500" w:type="dxa"/>
            <w:vAlign w:val="bottom"/>
            <w:gridSpan w:val="20"/>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Changes in and Disagreements with Accountants on Accounting and Financial Disclosure</w:t>
              </w:r>
            </w:hyperlink>
          </w:p>
        </w:tc>
        <w:tc>
          <w:tcPr>
            <w:tcW w:w="1060" w:type="dxa"/>
            <w:vAlign w:val="bottom"/>
          </w:tcPr>
          <w:p>
            <w:pPr>
              <w:jc w:val="right"/>
              <w:spacing w:after="0"/>
              <w:rPr>
                <w:rFonts w:ascii="Arial" w:cs="Arial" w:eastAsia="Arial" w:hAnsi="Arial"/>
                <w:sz w:val="18"/>
                <w:szCs w:val="18"/>
                <w:color w:val="auto"/>
              </w:rPr>
            </w:pPr>
            <w:hyperlink w:anchor="page156">
              <w:r>
                <w:rPr>
                  <w:rFonts w:ascii="Arial" w:cs="Arial" w:eastAsia="Arial" w:hAnsi="Arial"/>
                  <w:sz w:val="18"/>
                  <w:szCs w:val="18"/>
                  <w:color w:val="auto"/>
                </w:rPr>
                <w:t>163</w:t>
              </w:r>
            </w:hyperlink>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rFonts w:ascii="Arial" w:cs="Arial" w:eastAsia="Arial" w:hAnsi="Arial"/>
                <w:sz w:val="18"/>
                <w:szCs w:val="18"/>
                <w:color w:val="auto"/>
              </w:rPr>
            </w:pPr>
            <w:hyperlink w:anchor="page157">
              <w:r>
                <w:rPr>
                  <w:rFonts w:ascii="Arial" w:cs="Arial" w:eastAsia="Arial" w:hAnsi="Arial"/>
                  <w:sz w:val="18"/>
                  <w:szCs w:val="18"/>
                  <w:color w:val="auto"/>
                </w:rPr>
                <w:t>Item 9A.</w:t>
              </w:r>
            </w:hyperlink>
          </w:p>
        </w:tc>
        <w:tc>
          <w:tcPr>
            <w:tcW w:w="17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157">
              <w:r>
                <w:rPr>
                  <w:rFonts w:ascii="Arial" w:cs="Arial" w:eastAsia="Arial" w:hAnsi="Arial"/>
                  <w:sz w:val="18"/>
                  <w:szCs w:val="18"/>
                  <w:color w:val="0000FF"/>
                  <w:w w:val="88"/>
                </w:rPr>
                <w:t>Controls and Procedures</w:t>
              </w:r>
            </w:hyperlink>
          </w:p>
        </w:tc>
        <w:tc>
          <w:tcPr>
            <w:tcW w:w="4700" w:type="dxa"/>
            <w:vAlign w:val="bottom"/>
            <w:tcBorders>
              <w:top w:val="single" w:sz="8" w:color="0000FF"/>
            </w:tcBorders>
            <w:gridSpan w:val="11"/>
          </w:tcPr>
          <w:p>
            <w:pPr>
              <w:spacing w:after="0"/>
              <w:rPr>
                <w:sz w:val="18"/>
                <w:szCs w:val="18"/>
                <w:color w:val="auto"/>
              </w:rPr>
            </w:pPr>
          </w:p>
        </w:tc>
        <w:tc>
          <w:tcPr>
            <w:tcW w:w="2020" w:type="dxa"/>
            <w:vAlign w:val="bottom"/>
            <w:gridSpan w:val="2"/>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57">
              <w:r>
                <w:rPr>
                  <w:rFonts w:ascii="Arial" w:cs="Arial" w:eastAsia="Arial" w:hAnsi="Arial"/>
                  <w:sz w:val="18"/>
                  <w:szCs w:val="18"/>
                  <w:color w:val="auto"/>
                </w:rPr>
                <w:t>163</w:t>
              </w:r>
            </w:hyperlink>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rFonts w:ascii="Arial" w:cs="Arial" w:eastAsia="Arial" w:hAnsi="Arial"/>
                <w:sz w:val="18"/>
                <w:szCs w:val="18"/>
                <w:color w:val="auto"/>
              </w:rPr>
            </w:pPr>
            <w:hyperlink w:anchor="page159">
              <w:r>
                <w:rPr>
                  <w:rFonts w:ascii="Arial" w:cs="Arial" w:eastAsia="Arial" w:hAnsi="Arial"/>
                  <w:sz w:val="18"/>
                  <w:szCs w:val="18"/>
                  <w:color w:val="auto"/>
                </w:rPr>
                <w:t>Item 9B.</w:t>
              </w:r>
            </w:hyperlink>
          </w:p>
        </w:tc>
        <w:tc>
          <w:tcPr>
            <w:tcW w:w="850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1060" w:type="dxa"/>
            <w:vAlign w:val="bottom"/>
          </w:tcPr>
          <w:p>
            <w:pPr>
              <w:jc w:val="right"/>
              <w:spacing w:after="0"/>
              <w:rPr>
                <w:rFonts w:ascii="Arial" w:cs="Arial" w:eastAsia="Arial" w:hAnsi="Arial"/>
                <w:sz w:val="18"/>
                <w:szCs w:val="18"/>
                <w:color w:val="auto"/>
              </w:rPr>
            </w:pPr>
            <w:hyperlink w:anchor="page159">
              <w:r>
                <w:rPr>
                  <w:rFonts w:ascii="Arial" w:cs="Arial" w:eastAsia="Arial" w:hAnsi="Arial"/>
                  <w:sz w:val="18"/>
                  <w:szCs w:val="18"/>
                  <w:color w:val="auto"/>
                </w:rPr>
                <w:t>165</w:t>
              </w:r>
            </w:hyperlink>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tcPr>
          <w:p>
            <w:pPr>
              <w:ind w:left="340"/>
              <w:spacing w:after="0"/>
              <w:rPr>
                <w:rFonts w:ascii="Arial" w:cs="Arial" w:eastAsia="Arial" w:hAnsi="Arial"/>
                <w:sz w:val="18"/>
                <w:szCs w:val="18"/>
                <w:color w:val="auto"/>
              </w:rPr>
            </w:pPr>
            <w:hyperlink w:anchor="page159">
              <w:r>
                <w:rPr>
                  <w:rFonts w:ascii="Arial" w:cs="Arial" w:eastAsia="Arial" w:hAnsi="Arial"/>
                  <w:sz w:val="18"/>
                  <w:szCs w:val="18"/>
                  <w:color w:val="auto"/>
                </w:rPr>
                <w:t xml:space="preserve">Item </w:t>
              </w:r>
            </w:hyperlink>
            <w:r>
              <w:rPr>
                <w:rFonts w:ascii="Arial" w:cs="Arial" w:eastAsia="Arial" w:hAnsi="Arial"/>
                <w:sz w:val="18"/>
                <w:szCs w:val="18"/>
                <w:color w:val="auto"/>
              </w:rPr>
              <w:t>9C.</w:t>
            </w:r>
          </w:p>
        </w:tc>
        <w:tc>
          <w:tcPr>
            <w:tcW w:w="8500" w:type="dxa"/>
            <w:vAlign w:val="bottom"/>
            <w:gridSpan w:val="20"/>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Disclosure Regarding Foreign Jurisdictions that Prevent Inspections</w:t>
              </w:r>
            </w:hyperlink>
          </w:p>
        </w:tc>
        <w:tc>
          <w:tcPr>
            <w:tcW w:w="1060" w:type="dxa"/>
            <w:vAlign w:val="bottom"/>
          </w:tcPr>
          <w:p>
            <w:pPr>
              <w:jc w:val="right"/>
              <w:spacing w:after="0"/>
              <w:rPr>
                <w:rFonts w:ascii="Arial" w:cs="Arial" w:eastAsia="Arial" w:hAnsi="Arial"/>
                <w:sz w:val="18"/>
                <w:szCs w:val="18"/>
                <w:color w:val="auto"/>
              </w:rPr>
            </w:pPr>
            <w:hyperlink w:anchor="page159">
              <w:r>
                <w:rPr>
                  <w:rFonts w:ascii="Arial" w:cs="Arial" w:eastAsia="Arial" w:hAnsi="Arial"/>
                  <w:sz w:val="18"/>
                  <w:szCs w:val="18"/>
                  <w:color w:val="auto"/>
                </w:rPr>
                <w:t>165</w:t>
              </w:r>
            </w:hyperlink>
          </w:p>
        </w:tc>
        <w:tc>
          <w:tcPr>
            <w:tcW w:w="0" w:type="dxa"/>
            <w:vAlign w:val="bottom"/>
          </w:tcPr>
          <w:p>
            <w:pPr>
              <w:spacing w:after="0"/>
              <w:rPr>
                <w:sz w:val="1"/>
                <w:szCs w:val="1"/>
                <w:color w:val="auto"/>
              </w:rPr>
            </w:pPr>
          </w:p>
        </w:tc>
      </w:tr>
      <w:tr>
        <w:trPr>
          <w:trHeight w:val="519"/>
        </w:trPr>
        <w:tc>
          <w:tcPr>
            <w:tcW w:w="16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660" w:type="dxa"/>
            <w:vAlign w:val="bottom"/>
          </w:tcPr>
          <w:p>
            <w:pPr>
              <w:ind w:left="340"/>
              <w:spacing w:after="0" w:line="190" w:lineRule="exact"/>
              <w:rPr>
                <w:rFonts w:ascii="Arial" w:cs="Arial" w:eastAsia="Arial" w:hAnsi="Arial"/>
                <w:sz w:val="18"/>
                <w:szCs w:val="18"/>
                <w:color w:val="auto"/>
              </w:rPr>
            </w:pPr>
            <w:hyperlink w:anchor="page159">
              <w:r>
                <w:rPr>
                  <w:rFonts w:ascii="Arial" w:cs="Arial" w:eastAsia="Arial" w:hAnsi="Arial"/>
                  <w:sz w:val="18"/>
                  <w:szCs w:val="18"/>
                  <w:color w:val="auto"/>
                </w:rPr>
                <w:t>Item 10.</w:t>
              </w:r>
            </w:hyperlink>
          </w:p>
        </w:tc>
        <w:tc>
          <w:tcPr>
            <w:tcW w:w="4100" w:type="dxa"/>
            <w:vAlign w:val="bottom"/>
            <w:tcBorders>
              <w:bottom w:val="single" w:sz="8" w:color="0000FF"/>
            </w:tcBorders>
            <w:gridSpan w:val="13"/>
          </w:tcPr>
          <w:p>
            <w:pPr>
              <w:spacing w:after="0" w:line="190" w:lineRule="exact"/>
              <w:rPr>
                <w:rFonts w:ascii="Arial" w:cs="Arial" w:eastAsia="Arial" w:hAnsi="Arial"/>
                <w:sz w:val="18"/>
                <w:szCs w:val="18"/>
                <w:color w:val="0000FF"/>
                <w:w w:val="90"/>
              </w:rPr>
            </w:pPr>
            <w:hyperlink w:anchor="page159">
              <w:r>
                <w:rPr>
                  <w:rFonts w:ascii="Arial" w:cs="Arial" w:eastAsia="Arial" w:hAnsi="Arial"/>
                  <w:sz w:val="18"/>
                  <w:szCs w:val="18"/>
                  <w:color w:val="0000FF"/>
                  <w:w w:val="90"/>
                </w:rPr>
                <w:t>Directors, Executive Officers and Corporate Governance</w:t>
              </w:r>
            </w:hyperlink>
          </w:p>
        </w:tc>
        <w:tc>
          <w:tcPr>
            <w:tcW w:w="4400" w:type="dxa"/>
            <w:vAlign w:val="bottom"/>
            <w:gridSpan w:val="7"/>
          </w:tcPr>
          <w:p>
            <w:pPr>
              <w:spacing w:after="0"/>
              <w:rPr>
                <w:sz w:val="16"/>
                <w:szCs w:val="16"/>
                <w:color w:val="auto"/>
              </w:rPr>
            </w:pPr>
          </w:p>
        </w:tc>
        <w:tc>
          <w:tcPr>
            <w:tcW w:w="1060" w:type="dxa"/>
            <w:vAlign w:val="bottom"/>
          </w:tcPr>
          <w:p>
            <w:pPr>
              <w:jc w:val="right"/>
              <w:spacing w:after="0" w:line="190" w:lineRule="exact"/>
              <w:rPr>
                <w:rFonts w:ascii="Arial" w:cs="Arial" w:eastAsia="Arial" w:hAnsi="Arial"/>
                <w:sz w:val="18"/>
                <w:szCs w:val="18"/>
                <w:color w:val="auto"/>
              </w:rPr>
            </w:pPr>
            <w:hyperlink w:anchor="page159">
              <w:r>
                <w:rPr>
                  <w:rFonts w:ascii="Arial" w:cs="Arial" w:eastAsia="Arial" w:hAnsi="Arial"/>
                  <w:sz w:val="18"/>
                  <w:szCs w:val="18"/>
                  <w:color w:val="auto"/>
                </w:rPr>
                <w:t>165</w:t>
              </w:r>
            </w:hyperlink>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rFonts w:ascii="Arial" w:cs="Arial" w:eastAsia="Arial" w:hAnsi="Arial"/>
                <w:sz w:val="18"/>
                <w:szCs w:val="18"/>
                <w:color w:val="auto"/>
              </w:rPr>
            </w:pPr>
            <w:hyperlink w:anchor="page159">
              <w:r>
                <w:rPr>
                  <w:rFonts w:ascii="Arial" w:cs="Arial" w:eastAsia="Arial" w:hAnsi="Arial"/>
                  <w:sz w:val="18"/>
                  <w:szCs w:val="18"/>
                  <w:color w:val="auto"/>
                </w:rPr>
                <w:t>Item 11.</w:t>
              </w:r>
            </w:hyperlink>
          </w:p>
        </w:tc>
        <w:tc>
          <w:tcPr>
            <w:tcW w:w="18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59">
              <w:r>
                <w:rPr>
                  <w:rFonts w:ascii="Arial" w:cs="Arial" w:eastAsia="Arial" w:hAnsi="Arial"/>
                  <w:sz w:val="18"/>
                  <w:szCs w:val="18"/>
                  <w:color w:val="0000FF"/>
                  <w:w w:val="90"/>
                </w:rPr>
                <w:t>Executive Compensation</w:t>
              </w:r>
            </w:hyperlink>
          </w:p>
        </w:tc>
        <w:tc>
          <w:tcPr>
            <w:tcW w:w="6680" w:type="dxa"/>
            <w:vAlign w:val="bottom"/>
            <w:gridSpan w:val="12"/>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59">
              <w:r>
                <w:rPr>
                  <w:rFonts w:ascii="Arial" w:cs="Arial" w:eastAsia="Arial" w:hAnsi="Arial"/>
                  <w:sz w:val="18"/>
                  <w:szCs w:val="18"/>
                  <w:color w:val="auto"/>
                </w:rPr>
                <w:t>165</w:t>
              </w:r>
            </w:hyperlink>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rFonts w:ascii="Arial" w:cs="Arial" w:eastAsia="Arial" w:hAnsi="Arial"/>
                <w:sz w:val="18"/>
                <w:szCs w:val="18"/>
                <w:color w:val="auto"/>
              </w:rPr>
            </w:pPr>
            <w:hyperlink w:anchor="page159">
              <w:r>
                <w:rPr>
                  <w:rFonts w:ascii="Arial" w:cs="Arial" w:eastAsia="Arial" w:hAnsi="Arial"/>
                  <w:sz w:val="18"/>
                  <w:szCs w:val="18"/>
                  <w:color w:val="auto"/>
                </w:rPr>
                <w:t>Item 12.</w:t>
              </w:r>
            </w:hyperlink>
          </w:p>
        </w:tc>
        <w:tc>
          <w:tcPr>
            <w:tcW w:w="730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159">
              <w:r>
                <w:rPr>
                  <w:rFonts w:ascii="Arial" w:cs="Arial" w:eastAsia="Arial" w:hAnsi="Arial"/>
                  <w:sz w:val="18"/>
                  <w:szCs w:val="18"/>
                  <w:color w:val="0000FF"/>
                  <w:w w:val="90"/>
                </w:rPr>
                <w:t>Security Ownership of Certain Beneficial Owners and Management and Related Stockholder Matters</w:t>
              </w:r>
            </w:hyperlink>
          </w:p>
        </w:tc>
        <w:tc>
          <w:tcPr>
            <w:tcW w:w="1200" w:type="dxa"/>
            <w:vAlign w:val="bottom"/>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59">
              <w:r>
                <w:rPr>
                  <w:rFonts w:ascii="Arial" w:cs="Arial" w:eastAsia="Arial" w:hAnsi="Arial"/>
                  <w:sz w:val="18"/>
                  <w:szCs w:val="18"/>
                  <w:color w:val="auto"/>
                </w:rPr>
                <w:t>165</w:t>
              </w:r>
            </w:hyperlink>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rFonts w:ascii="Arial" w:cs="Arial" w:eastAsia="Arial" w:hAnsi="Arial"/>
                <w:sz w:val="18"/>
                <w:szCs w:val="18"/>
                <w:color w:val="auto"/>
              </w:rPr>
            </w:pPr>
            <w:hyperlink w:anchor="page159">
              <w:r>
                <w:rPr>
                  <w:rFonts w:ascii="Arial" w:cs="Arial" w:eastAsia="Arial" w:hAnsi="Arial"/>
                  <w:sz w:val="18"/>
                  <w:szCs w:val="18"/>
                  <w:color w:val="auto"/>
                </w:rPr>
                <w:t>Item 13.</w:t>
              </w:r>
            </w:hyperlink>
          </w:p>
        </w:tc>
        <w:tc>
          <w:tcPr>
            <w:tcW w:w="54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159">
              <w:r>
                <w:rPr>
                  <w:rFonts w:ascii="Arial" w:cs="Arial" w:eastAsia="Arial" w:hAnsi="Arial"/>
                  <w:sz w:val="18"/>
                  <w:szCs w:val="18"/>
                  <w:color w:val="0000FF"/>
                  <w:w w:val="89"/>
                </w:rPr>
                <w:t>Certain Relationships and Related Transactions, and Director Independence</w:t>
              </w:r>
            </w:hyperlink>
          </w:p>
        </w:tc>
        <w:tc>
          <w:tcPr>
            <w:tcW w:w="3040" w:type="dxa"/>
            <w:vAlign w:val="bottom"/>
            <w:gridSpan w:val="4"/>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59">
              <w:r>
                <w:rPr>
                  <w:rFonts w:ascii="Arial" w:cs="Arial" w:eastAsia="Arial" w:hAnsi="Arial"/>
                  <w:sz w:val="18"/>
                  <w:szCs w:val="18"/>
                  <w:color w:val="auto"/>
                </w:rPr>
                <w:t>165</w:t>
              </w:r>
            </w:hyperlink>
          </w:p>
        </w:tc>
        <w:tc>
          <w:tcPr>
            <w:tcW w:w="0" w:type="dxa"/>
            <w:vAlign w:val="bottom"/>
          </w:tcPr>
          <w:p>
            <w:pPr>
              <w:spacing w:after="0"/>
              <w:rPr>
                <w:sz w:val="1"/>
                <w:szCs w:val="1"/>
                <w:color w:val="auto"/>
              </w:rPr>
            </w:pPr>
          </w:p>
        </w:tc>
      </w:tr>
      <w:tr>
        <w:trPr>
          <w:trHeight w:val="209"/>
        </w:trPr>
        <w:tc>
          <w:tcPr>
            <w:tcW w:w="1660" w:type="dxa"/>
            <w:vAlign w:val="bottom"/>
          </w:tcPr>
          <w:p>
            <w:pPr>
              <w:ind w:left="340"/>
              <w:spacing w:after="0"/>
              <w:rPr>
                <w:rFonts w:ascii="Arial" w:cs="Arial" w:eastAsia="Arial" w:hAnsi="Arial"/>
                <w:sz w:val="18"/>
                <w:szCs w:val="18"/>
                <w:color w:val="auto"/>
              </w:rPr>
            </w:pPr>
            <w:hyperlink w:anchor="page159">
              <w:r>
                <w:rPr>
                  <w:rFonts w:ascii="Arial" w:cs="Arial" w:eastAsia="Arial" w:hAnsi="Arial"/>
                  <w:sz w:val="18"/>
                  <w:szCs w:val="18"/>
                  <w:color w:val="auto"/>
                </w:rPr>
                <w:t>Item 14.</w:t>
              </w:r>
            </w:hyperlink>
          </w:p>
        </w:tc>
        <w:tc>
          <w:tcPr>
            <w:tcW w:w="8500" w:type="dxa"/>
            <w:vAlign w:val="bottom"/>
            <w:gridSpan w:val="20"/>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Principal Accountant Fees and Services</w:t>
              </w:r>
            </w:hyperlink>
          </w:p>
        </w:tc>
        <w:tc>
          <w:tcPr>
            <w:tcW w:w="1060" w:type="dxa"/>
            <w:vAlign w:val="bottom"/>
          </w:tcPr>
          <w:p>
            <w:pPr>
              <w:jc w:val="right"/>
              <w:spacing w:after="0"/>
              <w:rPr>
                <w:rFonts w:ascii="Arial" w:cs="Arial" w:eastAsia="Arial" w:hAnsi="Arial"/>
                <w:sz w:val="18"/>
                <w:szCs w:val="18"/>
                <w:color w:val="auto"/>
              </w:rPr>
            </w:pPr>
            <w:hyperlink w:anchor="page159">
              <w:r>
                <w:rPr>
                  <w:rFonts w:ascii="Arial" w:cs="Arial" w:eastAsia="Arial" w:hAnsi="Arial"/>
                  <w:sz w:val="18"/>
                  <w:szCs w:val="18"/>
                  <w:color w:val="auto"/>
                </w:rPr>
                <w:t>165</w:t>
              </w:r>
            </w:hyperlink>
          </w:p>
        </w:tc>
        <w:tc>
          <w:tcPr>
            <w:tcW w:w="0" w:type="dxa"/>
            <w:vAlign w:val="bottom"/>
          </w:tcPr>
          <w:p>
            <w:pPr>
              <w:spacing w:after="0"/>
              <w:rPr>
                <w:sz w:val="1"/>
                <w:szCs w:val="1"/>
                <w:color w:val="auto"/>
              </w:rPr>
            </w:pPr>
          </w:p>
        </w:tc>
      </w:tr>
      <w:tr>
        <w:trPr>
          <w:trHeight w:val="519"/>
        </w:trPr>
        <w:tc>
          <w:tcPr>
            <w:tcW w:w="16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660" w:type="dxa"/>
            <w:vAlign w:val="bottom"/>
          </w:tcPr>
          <w:p>
            <w:pPr>
              <w:ind w:left="340"/>
              <w:spacing w:after="0" w:line="190" w:lineRule="exact"/>
              <w:rPr>
                <w:rFonts w:ascii="Arial" w:cs="Arial" w:eastAsia="Arial" w:hAnsi="Arial"/>
                <w:sz w:val="18"/>
                <w:szCs w:val="18"/>
                <w:color w:val="auto"/>
              </w:rPr>
            </w:pPr>
            <w:hyperlink w:anchor="page160">
              <w:r>
                <w:rPr>
                  <w:rFonts w:ascii="Arial" w:cs="Arial" w:eastAsia="Arial" w:hAnsi="Arial"/>
                  <w:sz w:val="18"/>
                  <w:szCs w:val="18"/>
                  <w:color w:val="auto"/>
                </w:rPr>
                <w:t>Item 15.</w:t>
              </w:r>
            </w:hyperlink>
          </w:p>
        </w:tc>
        <w:tc>
          <w:tcPr>
            <w:tcW w:w="8500" w:type="dxa"/>
            <w:vAlign w:val="bottom"/>
            <w:gridSpan w:val="20"/>
          </w:tcPr>
          <w:p>
            <w:pPr>
              <w:spacing w:after="0" w:line="190" w:lineRule="exact"/>
              <w:rPr>
                <w:rFonts w:ascii="Arial" w:cs="Arial" w:eastAsia="Arial" w:hAnsi="Arial"/>
                <w:sz w:val="18"/>
                <w:szCs w:val="18"/>
                <w:color w:val="0000FF"/>
              </w:rPr>
            </w:pPr>
            <w:hyperlink w:anchor="page160">
              <w:r>
                <w:rPr>
                  <w:rFonts w:ascii="Arial" w:cs="Arial" w:eastAsia="Arial" w:hAnsi="Arial"/>
                  <w:sz w:val="18"/>
                  <w:szCs w:val="18"/>
                  <w:color w:val="0000FF"/>
                </w:rPr>
                <w:t>Exhibits and Financial Statement Schedules</w:t>
              </w:r>
            </w:hyperlink>
          </w:p>
        </w:tc>
        <w:tc>
          <w:tcPr>
            <w:tcW w:w="1060" w:type="dxa"/>
            <w:vAlign w:val="bottom"/>
          </w:tcPr>
          <w:p>
            <w:pPr>
              <w:jc w:val="right"/>
              <w:spacing w:after="0" w:line="190" w:lineRule="exact"/>
              <w:rPr>
                <w:rFonts w:ascii="Arial" w:cs="Arial" w:eastAsia="Arial" w:hAnsi="Arial"/>
                <w:sz w:val="18"/>
                <w:szCs w:val="18"/>
                <w:color w:val="auto"/>
              </w:rPr>
            </w:pPr>
            <w:hyperlink w:anchor="page160">
              <w:r>
                <w:rPr>
                  <w:rFonts w:ascii="Arial" w:cs="Arial" w:eastAsia="Arial" w:hAnsi="Arial"/>
                  <w:sz w:val="18"/>
                  <w:szCs w:val="18"/>
                  <w:color w:val="auto"/>
                </w:rPr>
                <w:t>166</w:t>
              </w:r>
            </w:hyperlink>
          </w:p>
        </w:tc>
        <w:tc>
          <w:tcPr>
            <w:tcW w:w="0" w:type="dxa"/>
            <w:vAlign w:val="bottom"/>
          </w:tcPr>
          <w:p>
            <w:pPr>
              <w:spacing w:after="0"/>
              <w:rPr>
                <w:sz w:val="1"/>
                <w:szCs w:val="1"/>
                <w:color w:val="auto"/>
              </w:rPr>
            </w:pPr>
          </w:p>
        </w:tc>
      </w:tr>
      <w:tr>
        <w:trPr>
          <w:trHeight w:val="210"/>
        </w:trPr>
        <w:tc>
          <w:tcPr>
            <w:tcW w:w="1660" w:type="dxa"/>
            <w:vAlign w:val="bottom"/>
          </w:tcPr>
          <w:p>
            <w:pPr>
              <w:ind w:left="340"/>
              <w:spacing w:after="0"/>
              <w:rPr>
                <w:rFonts w:ascii="Arial" w:cs="Arial" w:eastAsia="Arial" w:hAnsi="Arial"/>
                <w:sz w:val="18"/>
                <w:szCs w:val="18"/>
                <w:color w:val="auto"/>
              </w:rPr>
            </w:pPr>
            <w:hyperlink w:anchor="page162">
              <w:r>
                <w:rPr>
                  <w:rFonts w:ascii="Arial" w:cs="Arial" w:eastAsia="Arial" w:hAnsi="Arial"/>
                  <w:sz w:val="18"/>
                  <w:szCs w:val="18"/>
                  <w:color w:val="auto"/>
                </w:rPr>
                <w:t>Item 16.</w:t>
              </w:r>
            </w:hyperlink>
          </w:p>
        </w:tc>
        <w:tc>
          <w:tcPr>
            <w:tcW w:w="15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162">
              <w:r>
                <w:rPr>
                  <w:rFonts w:ascii="Arial" w:cs="Arial" w:eastAsia="Arial" w:hAnsi="Arial"/>
                  <w:sz w:val="18"/>
                  <w:szCs w:val="18"/>
                  <w:color w:val="0000FF"/>
                  <w:w w:val="92"/>
                </w:rPr>
                <w:t>Form 10-K Summary</w:t>
              </w:r>
            </w:hyperlink>
          </w:p>
        </w:tc>
        <w:tc>
          <w:tcPr>
            <w:tcW w:w="1600" w:type="dxa"/>
            <w:vAlign w:val="bottom"/>
            <w:tcBorders>
              <w:top w:val="single" w:sz="8" w:color="0000FF"/>
            </w:tcBorders>
            <w:gridSpan w:val="5"/>
          </w:tcPr>
          <w:p>
            <w:pPr>
              <w:spacing w:after="0"/>
              <w:rPr>
                <w:sz w:val="18"/>
                <w:szCs w:val="18"/>
                <w:color w:val="auto"/>
              </w:rPr>
            </w:pPr>
          </w:p>
        </w:tc>
        <w:tc>
          <w:tcPr>
            <w:tcW w:w="5340" w:type="dxa"/>
            <w:vAlign w:val="bottom"/>
            <w:gridSpan w:val="9"/>
          </w:tcPr>
          <w:p>
            <w:pPr>
              <w:spacing w:after="0"/>
              <w:rPr>
                <w:sz w:val="18"/>
                <w:szCs w:val="18"/>
                <w:color w:val="auto"/>
              </w:rPr>
            </w:pPr>
          </w:p>
        </w:tc>
        <w:tc>
          <w:tcPr>
            <w:tcW w:w="1060" w:type="dxa"/>
            <w:vAlign w:val="bottom"/>
          </w:tcPr>
          <w:p>
            <w:pPr>
              <w:jc w:val="right"/>
              <w:spacing w:after="0"/>
              <w:rPr>
                <w:rFonts w:ascii="Arial" w:cs="Arial" w:eastAsia="Arial" w:hAnsi="Arial"/>
                <w:sz w:val="18"/>
                <w:szCs w:val="18"/>
                <w:color w:val="auto"/>
              </w:rPr>
            </w:pPr>
            <w:hyperlink w:anchor="page162">
              <w:r>
                <w:rPr>
                  <w:rFonts w:ascii="Arial" w:cs="Arial" w:eastAsia="Arial" w:hAnsi="Arial"/>
                  <w:sz w:val="18"/>
                  <w:szCs w:val="18"/>
                  <w:color w:val="auto"/>
                </w:rPr>
                <w:t>169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Annual Report on Form 10-K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Annual Report on Form 10-K include statements about:</w:t>
      </w:r>
    </w:p>
    <w:p>
      <w:pPr>
        <w:spacing w:after="0" w:line="125" w:lineRule="exact"/>
        <w:rPr>
          <w:sz w:val="20"/>
          <w:szCs w:val="20"/>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our operating expenses, our ability to determine reserves and our ability to remain profitable;</w:t>
      </w:r>
    </w:p>
    <w:p>
      <w:pPr>
        <w:spacing w:after="0" w:line="89"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effectiveness and predictiveness of our AI models and our expectations that improvements in our AI models can lead to higher approval rates and lower interest rates;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the volume of loans facilitated by our AI lending platform;</w:t>
      </w:r>
    </w:p>
    <w:p>
      <w:pPr>
        <w:spacing w:after="0" w:line="15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maintain a diversified loan funding strategy, including bank partnerships and whole loan sales and securitization transactions;</w:t>
      </w:r>
    </w:p>
    <w:p>
      <w:pPr>
        <w:spacing w:after="0" w:line="8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competitive interest rates offered to borrowers on our platform, while enabling our bank partners to achieve an adequate return over their cost of funding;</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build our brand and protect our reputation from negative publicity;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the effectiveness of our marketing strategies, including our direct consumer marketing initiatives;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any associated economic downturn on our business and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management of future growth, including expanding the number of potential borrowers;</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adjust our proprietary AI models, products and services in a timely manner in response to changing macroeconomic conditions and fluctuations in the credit market;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applicable local, state and federal laws;</w:t>
      </w:r>
    </w:p>
    <w:p>
      <w:pPr>
        <w:spacing w:after="0" w:line="15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and successfully adapt to complex and evolving regulatory environments, including regulation of artificial intelligence and machine learning technology;</w:t>
      </w:r>
    </w:p>
    <w:p>
      <w:pPr>
        <w:spacing w:after="0" w:line="10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regulatory support of our approach to AI-based lending, including our ongoing discussions with the Consumer Financial Protection Bureau, or CFPB;</w:t>
      </w:r>
    </w:p>
    <w:p>
      <w:pPr>
        <w:spacing w:after="0" w:line="89"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success of our strategic investments and acquisitions, including the integration of acquired operations, products, technology, internal controls and personnel;</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against increasingly sophisticated fraudulent borrowing and online theft;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service loans and the ability of third-party collection agents, to pursue collection of delinquent and defaulted loans;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with companies that are currently in, or may in the future enter, the markets in which we operate;</w:t>
      </w:r>
    </w:p>
    <w:p>
      <w:pPr>
        <w:spacing w:after="0" w:line="144"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new and evolving markets and our ability to enter into new markets and introduce new products and services, such as our recent introduction of auto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4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secure and maintain the confidentiality of the information received, accessed, stored, provided and used across our systems;</w:t>
      </w:r>
    </w:p>
    <w:p>
      <w:pPr>
        <w:spacing w:after="0" w:line="8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obtain and maintain corporate funding and liquidity to support continued growth and for general corporate purposes;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capital allocation plans, including expected allocations of cash and timing;</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integrate and retain qualified employees;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disclosure controls and internal control over financial reporting and operations;</w:t>
      </w:r>
    </w:p>
    <w:p>
      <w:pPr>
        <w:spacing w:after="0" w:line="15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and expand the capabilities of our operations teams, outsourcing relationships and other business operations;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outstanding litigation and regulatory investigations;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increased expenses associated with being a public company.</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caution you that the foregoing list may not contain all of the forward-looking statements made in this report.</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and elsewhere in this report. Readers are urged to carefully review and consider the various disclosures made in this report and in other documents we file from time to time with the Securities and Exchange Commission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terms the “Company,” “we,” “our,” “us” and similar terms used herein refer collectively to Upstart Holdings, Inc., a Delaware corporation, and its consolidated subsidiaries,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mission is to enable effortless credit based on true risk.</w:t>
      </w:r>
    </w:p>
    <w:p>
      <w:pPr>
        <w:spacing w:after="0" w:line="239" w:lineRule="exact"/>
        <w:rPr>
          <w:sz w:val="20"/>
          <w:szCs w:val="20"/>
          <w:color w:val="auto"/>
        </w:rPr>
      </w:pPr>
    </w:p>
    <w:p>
      <w:pPr>
        <w:jc w:val="both"/>
        <w:ind w:firstLine="551"/>
        <w:spacing w:after="0" w:line="301" w:lineRule="auto"/>
        <w:rPr>
          <w:sz w:val="20"/>
          <w:szCs w:val="20"/>
          <w:color w:val="auto"/>
        </w:rPr>
      </w:pPr>
      <w:r>
        <w:rPr>
          <w:rFonts w:ascii="Arial" w:cs="Arial" w:eastAsia="Arial" w:hAnsi="Arial"/>
          <w:sz w:val="16"/>
          <w:szCs w:val="16"/>
          <w:color w:val="auto"/>
        </w:rPr>
        <w:t>We are a leading, cloud-based AI lending platform. AI lending enables a superior loan product with improved economics that can be shared between consumers and lenders. Our platform aggregates consumer demand for high-quality loans and connects it to our network of Upstart AI-enabled bank partners. Consumers on our platform benefit from higher approval rates, lower interest rates, and a highly automated, efficient, all-digital experience. Our bank partners benefit from access to new customers, lower fraud and loss rates, and increased automation throughout the lending process.</w:t>
      </w:r>
    </w:p>
    <w:p>
      <w:pPr>
        <w:spacing w:after="0" w:line="184"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Credit is a cornerstone of the U.S. economy, and access to affordable credit is central to unlocking upward mobility and opportunity. The FICO score was invented in 1989 and remains the standard for determining who is approved for credit and at what interest rate. While FICO is rarely the only input in a lending decision, most banks use simple rules-based systems that consider only a limited number of variables. Unfortunately, because legacy credit systems fail to properly identify and quantify risk, millions of creditworthy individuals are left out of the system, and millions more pay too much to borrow money.</w:t>
      </w:r>
    </w:p>
    <w:p>
      <w:pPr>
        <w:spacing w:after="0" w:line="215" w:lineRule="exact"/>
        <w:rPr>
          <w:sz w:val="20"/>
          <w:szCs w:val="20"/>
          <w:color w:val="auto"/>
        </w:rPr>
      </w:pPr>
    </w:p>
    <w:p>
      <w:pPr>
        <w:jc w:val="both"/>
        <w:ind w:firstLine="713"/>
        <w:spacing w:after="0" w:line="296" w:lineRule="auto"/>
        <w:rPr>
          <w:sz w:val="20"/>
          <w:szCs w:val="20"/>
          <w:color w:val="auto"/>
        </w:rPr>
      </w:pPr>
      <w:r>
        <w:rPr>
          <w:rFonts w:ascii="Arial" w:cs="Arial" w:eastAsia="Arial" w:hAnsi="Arial"/>
          <w:sz w:val="16"/>
          <w:szCs w:val="16"/>
          <w:color w:val="auto"/>
        </w:rPr>
        <w:t>We leverage the power of AI to more accurately quantify the true risk of a loan. Our AI models have been continuously upgraded, trained and refined for more than eight years. We have discrete AI models that target fee optimization, income fraud, acquisition targeting, loan stacking, prepayment prediction, identity fraud and time-delimited default prediction. Our models incorporate more than 1,500 variables and benefit from a rapidly growing training dataset that currently contains more than 21.6 million repayment events. The network effects generated by our constantly improving AI models provide a significant competitive advantage—more training data leads to higher approval rates and lower interest rates at the same loss rate.</w:t>
      </w:r>
    </w:p>
    <w:p>
      <w:pPr>
        <w:spacing w:after="0" w:line="18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Our AI models are provided to bank partners within a consumer-facing cloud application that streamlines the end-to-end process of originating and servicing a loan. We have built a configurable, multi-tenant cloud application designed to integrate seamlessly into a bank’s existing technology systems. Our highly configurable platform allows each bank to define its own credit policy and determine the significant parameters of its lending program. Our AI models use and analyze data from all of our bank partners. As a result, these models are trained by every Upstart-powered loan, and each bank partner benefits from participating in a shared AI lending platform.</w:t>
      </w:r>
    </w:p>
    <w:p>
      <w:pPr>
        <w:spacing w:after="0" w:line="216" w:lineRule="exact"/>
        <w:rPr>
          <w:sz w:val="20"/>
          <w:szCs w:val="20"/>
          <w:color w:val="auto"/>
        </w:rPr>
      </w:pPr>
    </w:p>
    <w:p>
      <w:pPr>
        <w:jc w:val="both"/>
        <w:ind w:right="20" w:firstLine="551"/>
        <w:spacing w:after="0" w:line="277" w:lineRule="auto"/>
        <w:rPr>
          <w:sz w:val="20"/>
          <w:szCs w:val="20"/>
          <w:color w:val="auto"/>
        </w:rPr>
      </w:pPr>
      <w:r>
        <w:rPr>
          <w:rFonts w:ascii="Arial" w:cs="Arial" w:eastAsia="Arial" w:hAnsi="Arial"/>
          <w:sz w:val="18"/>
          <w:szCs w:val="18"/>
          <w:color w:val="auto"/>
        </w:rPr>
        <w:t>Consumers can discover Upstart-powered loans in one of two ways: either via Upstart.com or through a bank-branded product on our bank partners’ own websites.</w:t>
      </w:r>
    </w:p>
    <w:p>
      <w:pPr>
        <w:spacing w:after="0" w:line="197" w:lineRule="exact"/>
        <w:rPr>
          <w:sz w:val="20"/>
          <w:szCs w:val="20"/>
          <w:color w:val="auto"/>
        </w:rPr>
      </w:pPr>
    </w:p>
    <w:p>
      <w:pPr>
        <w:jc w:val="both"/>
        <w:ind w:firstLine="551"/>
        <w:spacing w:after="0" w:line="289" w:lineRule="auto"/>
        <w:rPr>
          <w:sz w:val="20"/>
          <w:szCs w:val="20"/>
          <w:color w:val="auto"/>
        </w:rPr>
      </w:pPr>
      <w:r>
        <w:rPr>
          <w:rFonts w:ascii="Arial" w:cs="Arial" w:eastAsia="Arial" w:hAnsi="Arial"/>
          <w:sz w:val="16"/>
          <w:szCs w:val="16"/>
          <w:color w:val="auto"/>
        </w:rPr>
        <w:t>Loans issued through our platform can be retained by our originating bank partners, distributed to our broad base of institutional investors and buyers that invest in Upstart-powered loans or funded by Upstart’s balance sheet. In the year ended December 31, 2021, 16% of the loans funded through our platform were retained by the originating bank and 80% of loans were purchased by institutional investors through our loan funding programs. Our institutional investors and buyers that participate in our loan funding programs invest in Upstart-powered loans through whole loan purchases, purchases of pass-through certificates and investments in asset-backed securitizations. A large fraction of the whole loans sold to institutional investors under our loan funding programs are originated by Cross River Bank, or CRB. In the year ended December 31, 2021, CRB originated 55% of the loans facilitated on our platform and fees received from CRB accounted for 56% of our total revenue. In the year ended December 31, 2021, one of our other bank partners originated 36% of the loans facilitated on our platform and accounted for 27% of our total revenue. We enter into nonexclusive agreements with our whole loan purchasers and each of the grantor trust entities in our asset-backed securitizations, pursuant to which we provide loan 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Our revenue is primarily comprised of fees paid by banks. We charge banks referral fees for each loan referred through Upstart.com and originated by a bank partner, platform fees for each loan originated, regardless of its source, and loan servicing fees as consumers repay their loans. Our agreements with our bank partners are nonexclusive, generally have 12-month terms that automatically renew, subject to certain early termination provisions, and may contain minimum fee amounts. As a usage-based platform, we target positive unit economics on each transaction, resulting in a cash efficient business model that features both high growth rates and profitability.</w:t>
      </w:r>
    </w:p>
    <w:p>
      <w:pPr>
        <w:spacing w:after="0" w:line="21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Our AI Lending Platform</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AI models are central to our value proposition and unique position in the industry. Our models incorporate more than 1,500 variables, which are analogous to the columns in a spreadsheet. They have been trained by more than 21.6 million repayment events, analogous to rows of data in a spreadsheet.</w:t>
      </w:r>
    </w:p>
    <w:p>
      <w:pPr>
        <w:spacing w:after="0" w:line="211" w:lineRule="exact"/>
        <w:rPr>
          <w:sz w:val="20"/>
          <w:szCs w:val="20"/>
          <w:color w:val="auto"/>
        </w:rPr>
      </w:pPr>
    </w:p>
    <w:p>
      <w:pPr>
        <w:jc w:val="both"/>
        <w:ind w:firstLine="551"/>
        <w:spacing w:after="0" w:line="273" w:lineRule="auto"/>
        <w:rPr>
          <w:sz w:val="20"/>
          <w:szCs w:val="20"/>
          <w:color w:val="auto"/>
        </w:rPr>
      </w:pPr>
      <w:r>
        <w:rPr>
          <w:rFonts w:ascii="Arial" w:cs="Arial" w:eastAsia="Arial" w:hAnsi="Arial"/>
          <w:sz w:val="17"/>
          <w:szCs w:val="17"/>
          <w:color w:val="auto"/>
        </w:rPr>
        <w:t>These elements of our model are co-dependent; the use of hundreds or thousands of variables is impractical without sophisticated machine learning algorithms to tease out the interactions between them. And sophisticated machine learning depends on large volumes of training data. Over time, we have been able to deploy and blend more sophisticated modeling techniques, leading to a more accurate system. This co-dependency presents a challenge to others who may aim to short-circuit the development of a competitive model. While incumbent lenders may have vast quantities of historical repayment data, their training data lacks the hundreds of columns, or variables, that power our model. For more details regarding the variables, training data, and algorithms in our models, please see “</w:t>
      </w:r>
      <w:r>
        <w:rPr>
          <w:rFonts w:ascii="Arial" w:cs="Arial" w:eastAsia="Arial" w:hAnsi="Arial"/>
          <w:sz w:val="17"/>
          <w:szCs w:val="17"/>
          <w:i w:val="1"/>
          <w:iCs w:val="1"/>
          <w:color w:val="auto"/>
        </w:rPr>
        <w:t>Business—Evolution of Upstart’s AI Model</w:t>
      </w:r>
      <w:r>
        <w:rPr>
          <w:rFonts w:ascii="Arial" w:cs="Arial" w:eastAsia="Arial" w:hAnsi="Arial"/>
          <w:sz w:val="17"/>
          <w:szCs w:val="17"/>
          <w:color w:val="auto"/>
        </w:rPr>
        <w:t>.”</w:t>
      </w:r>
    </w:p>
    <w:p>
      <w:pPr>
        <w:spacing w:after="0" w:line="205"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Despite their sophistication, our AI models are delivered to banks in the form of a simple cloud application that shields borrowers from the underlying complexity. Additionally, our platform allows banks to tailor lending applications based on their policies and business needs. Our bank partners can configure many aspects of their lending programs, including factors such as loan duration, loan amount, minimum credit score, maximum debt-to-income ratio and return target by risk grade. Within the construct of each bank’s self-defined lending program, our platform enables the origination of conforming and compliant loans at a low per-loan cost.</w:t>
      </w:r>
    </w:p>
    <w:p>
      <w:pPr>
        <w:spacing w:after="0" w:line="21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Our Ecosystem</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platform connects consumers, banks and institutional investors through a shared AI lending platform. Because AI is a new and disruptive technology, and banking is a traditionally conservative industry, we have brought our technology to market in a way that allows us to grow rapidly and improve on our AI models, while allowing banks to take a prudent and responsible approach to assessing and adopting our platform.</w:t>
      </w:r>
    </w:p>
    <w:p>
      <w:pPr>
        <w:spacing w:after="0" w:line="192"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On the consumer side, we aggregate demand on Upstart.com, where consumers are presented with bank-branded offers from our bank partners. In this way, we benefit banks who have adopted our AI lending technology. Bank partners can also offer Upstart-powered loans through a bank-branded interface on their own website or mobile application. Consumers on our platform are generally offered unsecured personal and secured auto loans ranging from $1,000 to $50,000 in size, at APRs typically ranging from approximately 6.5% to 35.99%, with terms typically ranging from three to seven years, with a monthly repayment schedule and no prepayment penalty.</w:t>
      </w:r>
    </w:p>
    <w:p>
      <w:pPr>
        <w:spacing w:after="0" w:line="21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have also made significant investments in Upstart Auto Retail, a front-end software-as-a-service application that modernizes the auto sales process for both the consumer and the dealer. Similar to Upstart.com, we expect Upstart Auto Retail to become an important aggregator of demand.</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funding side, our bank partners can retain loans that align with their business and risk objectives; loan volumes exceeding their collective funding capacity or risk tolerance can be flowed through our loan funding programs and sold to our network of institutional investors, which have far broader and more diverse capacity to absorb and distribute risk. This flexible approach allows banks to adopt AI lending at their own pace, while we continue to grow and improve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Consumers</w:t>
      </w:r>
    </w:p>
    <w:p>
      <w:pPr>
        <w:spacing w:after="0" w:line="387" w:lineRule="exact"/>
        <w:rPr>
          <w:sz w:val="20"/>
          <w:szCs w:val="20"/>
          <w:color w:val="auto"/>
        </w:rPr>
      </w:pPr>
    </w:p>
    <w:p>
      <w:pPr>
        <w:jc w:val="both"/>
        <w:ind w:left="1300" w:right="400" w:hanging="320"/>
        <w:spacing w:after="0" w:line="243" w:lineRule="auto"/>
        <w:tabs>
          <w:tab w:leader="none" w:pos="129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Higher approval rates and lower interest rates</w:t>
      </w:r>
      <w:r>
        <w:rPr>
          <w:rFonts w:ascii="Arial" w:cs="Arial" w:eastAsia="Arial" w:hAnsi="Arial"/>
          <w:sz w:val="18"/>
          <w:szCs w:val="18"/>
          <w:color w:val="auto"/>
        </w:rPr>
        <w:t>—The CFPB reported that a study by Upstart of its data using a methodology</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by the CFPB, showed that our AI model approves 27% more borrowers than high-quality traditional lending models with a 16% lower average APR for approved loans. Our analyses suggest that our loan offers have improved significantly over time relative to those of competitors.</w:t>
      </w:r>
    </w:p>
    <w:p>
      <w:pPr>
        <w:spacing w:after="0" w:line="349" w:lineRule="exact"/>
        <w:rPr>
          <w:rFonts w:ascii="Arial" w:cs="Arial" w:eastAsia="Arial" w:hAnsi="Arial"/>
          <w:sz w:val="18"/>
          <w:szCs w:val="18"/>
          <w:i w:val="1"/>
          <w:iCs w:val="1"/>
          <w:color w:val="auto"/>
        </w:rPr>
      </w:pPr>
    </w:p>
    <w:p>
      <w:pPr>
        <w:jc w:val="both"/>
        <w:ind w:left="1300" w:right="400" w:hanging="320"/>
        <w:spacing w:after="0" w:line="279" w:lineRule="auto"/>
        <w:tabs>
          <w:tab w:leader="none" w:pos="1295"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Superior digital experience</w:t>
      </w:r>
      <w:r>
        <w:rPr>
          <w:rFonts w:ascii="Arial" w:cs="Arial" w:eastAsia="Arial" w:hAnsi="Arial"/>
          <w:sz w:val="16"/>
          <w:szCs w:val="16"/>
          <w:color w:val="auto"/>
        </w:rPr>
        <w:t>—Whether consumers apply for a loan through Upstart.com or directly through a bank partner’s website,</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application experience is streamlined into a single application process and the loan offers provided are firm. In the year ended December 31, 2021, 69% of Upstart-powered loans were instantly approved with no document upload or phone call required, an increase from 0% in late 2016. Such automation improvements were due in large part to improvements to our AI models and the application of such models to different aspects of the loan process, including data verification and fraud detection.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Proposition to Bank Partners</w:t>
      </w:r>
    </w:p>
    <w:p>
      <w:pPr>
        <w:spacing w:after="0" w:line="144" w:lineRule="exact"/>
        <w:rPr>
          <w:sz w:val="20"/>
          <w:szCs w:val="20"/>
          <w:color w:val="auto"/>
        </w:rPr>
      </w:pPr>
    </w:p>
    <w:p>
      <w:pPr>
        <w:ind w:left="1300" w:right="420" w:hanging="320"/>
        <w:spacing w:after="0" w:line="261" w:lineRule="auto"/>
        <w:tabs>
          <w:tab w:leader="none" w:pos="129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Competitive digital lending experienc</w:t>
      </w:r>
      <w:r>
        <w:rPr>
          <w:rFonts w:ascii="Arial" w:cs="Arial" w:eastAsia="Arial" w:hAnsi="Arial"/>
          <w:sz w:val="18"/>
          <w:szCs w:val="18"/>
          <w:color w:val="auto"/>
        </w:rPr>
        <w:t>e—We provide regional banks and credit unions with a cost effective way to compete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budgets of their much larger competitors.</w:t>
      </w:r>
    </w:p>
    <w:p>
      <w:pPr>
        <w:spacing w:after="0" w:line="103" w:lineRule="exact"/>
        <w:rPr>
          <w:rFonts w:ascii="Arial" w:cs="Arial" w:eastAsia="Arial" w:hAnsi="Arial"/>
          <w:sz w:val="18"/>
          <w:szCs w:val="18"/>
          <w:i w:val="1"/>
          <w:iCs w:val="1"/>
          <w:color w:val="auto"/>
        </w:rPr>
      </w:pPr>
    </w:p>
    <w:p>
      <w:pPr>
        <w:ind w:left="1300" w:right="42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Expanded customer bas</w:t>
      </w:r>
      <w:r>
        <w:rPr>
          <w:rFonts w:ascii="Arial" w:cs="Arial" w:eastAsia="Arial" w:hAnsi="Arial"/>
          <w:sz w:val="18"/>
          <w:szCs w:val="18"/>
          <w:color w:val="auto"/>
        </w:rPr>
        <w:t>e—We refer customers that apply for loans through Upstart.com to our bank partners, helping them grow</w:t>
      </w:r>
      <w:r>
        <w:rPr>
          <w:rFonts w:ascii="Arial" w:cs="Arial" w:eastAsia="Arial" w:hAnsi="Arial"/>
          <w:sz w:val="18"/>
          <w:szCs w:val="18"/>
          <w:i w:val="1"/>
          <w:iCs w:val="1"/>
          <w:color w:val="auto"/>
        </w:rPr>
        <w:t xml:space="preserve"> </w:t>
      </w:r>
      <w:r>
        <w:rPr>
          <w:rFonts w:ascii="Arial" w:cs="Arial" w:eastAsia="Arial" w:hAnsi="Arial"/>
          <w:sz w:val="18"/>
          <w:szCs w:val="18"/>
          <w:color w:val="auto"/>
        </w:rPr>
        <w:t>both loan volumes and number of customers.</w:t>
      </w:r>
    </w:p>
    <w:p>
      <w:pPr>
        <w:spacing w:after="0" w:line="89" w:lineRule="exact"/>
        <w:rPr>
          <w:rFonts w:ascii="Arial" w:cs="Arial" w:eastAsia="Arial" w:hAnsi="Arial"/>
          <w:sz w:val="18"/>
          <w:szCs w:val="18"/>
          <w:color w:val="auto"/>
        </w:rPr>
      </w:pPr>
    </w:p>
    <w:p>
      <w:pPr>
        <w:jc w:val="both"/>
        <w:ind w:left="1300" w:right="400" w:hanging="320"/>
        <w:spacing w:after="0" w:line="276" w:lineRule="auto"/>
        <w:tabs>
          <w:tab w:leader="none" w:pos="129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Lower loss rates</w:t>
      </w:r>
      <w:r>
        <w:rPr>
          <w:rFonts w:ascii="Arial" w:cs="Arial" w:eastAsia="Arial" w:hAnsi="Arial"/>
          <w:sz w:val="16"/>
          <w:szCs w:val="16"/>
          <w:color w:val="auto"/>
        </w:rPr>
        <w:t>—An internal study comparing our model to that of several large U.S. banks found that our model could enable</w:t>
      </w:r>
      <w:r>
        <w:rPr>
          <w:rFonts w:ascii="Arial" w:cs="Arial" w:eastAsia="Arial" w:hAnsi="Arial"/>
          <w:sz w:val="16"/>
          <w:szCs w:val="16"/>
          <w:i w:val="1"/>
          <w:iCs w:val="1"/>
          <w:color w:val="auto"/>
        </w:rPr>
        <w:t xml:space="preserve"> </w:t>
      </w:r>
      <w:r>
        <w:rPr>
          <w:rFonts w:ascii="Arial" w:cs="Arial" w:eastAsia="Arial" w:hAnsi="Arial"/>
          <w:sz w:val="16"/>
          <w:szCs w:val="16"/>
          <w:color w:val="auto"/>
        </w:rPr>
        <w:t>these banks to lower loss rates by almost 75% while keeping approval rates constant. In this internal study, Upstart replicated three bank models using their respective underwriting policies and evaluated their hypothetical loss rates and approval rates using Upstart’s applicant base in late 2017. To compare the hypothetical loss rates between Upstart’s model and each of the replicated bank models, Upstart held approval rates constant at the rate called for by each bank’s respective underwriting policy. Such result represents the average rate of improvement exhibited by Upstart’s platform against each of the three respective bank models.</w:t>
      </w:r>
    </w:p>
    <w:p>
      <w:pPr>
        <w:spacing w:after="0" w:line="93" w:lineRule="exact"/>
        <w:rPr>
          <w:rFonts w:ascii="Arial" w:cs="Arial" w:eastAsia="Arial" w:hAnsi="Arial"/>
          <w:sz w:val="16"/>
          <w:szCs w:val="16"/>
          <w:color w:val="auto"/>
        </w:rPr>
      </w:pPr>
    </w:p>
    <w:p>
      <w:pPr>
        <w:jc w:val="both"/>
        <w:ind w:left="1300" w:right="400" w:hanging="320"/>
        <w:spacing w:after="0" w:line="248"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New product offerings</w:t>
      </w:r>
      <w:r>
        <w:rPr>
          <w:rFonts w:ascii="Arial" w:cs="Arial" w:eastAsia="Arial" w:hAnsi="Arial"/>
          <w:sz w:val="18"/>
          <w:szCs w:val="18"/>
          <w:color w:val="auto"/>
        </w:rPr>
        <w:t>—Personal loans are one of the fastest-growing segments of credit in the U.S. and auto financing is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largest segment of consumer lending. Our platform helps banks provide a product their customers want, rather than letting customers seek loans from competitors.</w:t>
      </w:r>
    </w:p>
    <w:p>
      <w:pPr>
        <w:spacing w:after="0" w:line="114" w:lineRule="exact"/>
        <w:rPr>
          <w:rFonts w:ascii="Arial" w:cs="Arial" w:eastAsia="Arial" w:hAnsi="Arial"/>
          <w:sz w:val="18"/>
          <w:szCs w:val="18"/>
          <w:color w:val="auto"/>
        </w:rPr>
      </w:pPr>
    </w:p>
    <w:p>
      <w:pPr>
        <w:jc w:val="both"/>
        <w:ind w:left="1300" w:right="400" w:hanging="320"/>
        <w:spacing w:after="0" w:line="248"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Institutional investor acceptance</w:t>
      </w:r>
      <w:r>
        <w:rPr>
          <w:rFonts w:ascii="Arial" w:cs="Arial" w:eastAsia="Arial" w:hAnsi="Arial"/>
          <w:sz w:val="18"/>
          <w:szCs w:val="18"/>
          <w:color w:val="auto"/>
        </w:rPr>
        <w:t>—Analyses by credit rating agencies, loan and bond buying institutions, and credit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help banks gain confidence that Upstart-powered loans are subject to significant and constant scrutiny from experts, the results of which are often publicly available.</w:t>
      </w:r>
    </w:p>
    <w:p>
      <w:pPr>
        <w:spacing w:after="0" w:line="20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Our Competitive Strengths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Constantly Improving AI Models</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been building and refining our AI models for more than nine years, and they have led directly to our growth and profitability. Our models currently incorporate more than 1,500 variables and are trained by more than 21.6 million repayment events. Beyond the advantages accrued by our constantly growing volume of training data, our machine learning team continues to update our modeling techniques regularly. Model and technology improvements have increased our conversion rate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Two-Sided Ecosystem</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benefit from aggregating consumer demand on Upstart.com, referring consumers directly to our network of AI-enabled bank partners. Our consumer presence allows us to increase awareness of and interest in Upstart-powered loans, directly contributing to our own growth, as well as the growth and success of our bank partners’ lending programs.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an expanding list of bank partners, we can solve the borrowing needs of an increasingly diverse array of consumers.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Efficient Fee-Based Business</w:t>
      </w:r>
    </w:p>
    <w:p>
      <w:pPr>
        <w:spacing w:after="0" w:line="239" w:lineRule="exact"/>
        <w:rPr>
          <w:sz w:val="20"/>
          <w:szCs w:val="20"/>
          <w:color w:val="auto"/>
        </w:rPr>
      </w:pPr>
    </w:p>
    <w:p>
      <w:pPr>
        <w:jc w:val="both"/>
        <w:ind w:firstLine="551"/>
        <w:spacing w:after="0" w:line="263" w:lineRule="auto"/>
        <w:rPr>
          <w:sz w:val="20"/>
          <w:szCs w:val="20"/>
          <w:color w:val="auto"/>
        </w:rPr>
      </w:pPr>
      <w:r>
        <w:rPr>
          <w:rFonts w:ascii="Arial" w:cs="Arial" w:eastAsia="Arial" w:hAnsi="Arial"/>
          <w:sz w:val="18"/>
          <w:szCs w:val="18"/>
          <w:color w:val="auto"/>
        </w:rPr>
        <w:t>In the year ended December 31, 2021, we generated 94% of revenue from fees from banks and loan servicing. We have also achieved a high degree of automation, with 69% of Upstart-powered loans approved instantly and fully automated in the year ended December 31, 2021, driving operating leverage and improving unit economics.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Compliance</w:t>
      </w:r>
    </w:p>
    <w:p>
      <w:pPr>
        <w:spacing w:after="0" w:line="239" w:lineRule="exact"/>
        <w:rPr>
          <w:sz w:val="20"/>
          <w:szCs w:val="20"/>
          <w:color w:val="auto"/>
        </w:rPr>
      </w:pPr>
    </w:p>
    <w:p>
      <w:pPr>
        <w:jc w:val="both"/>
        <w:ind w:firstLine="551"/>
        <w:spacing w:after="0" w:line="279" w:lineRule="auto"/>
        <w:rPr>
          <w:sz w:val="20"/>
          <w:szCs w:val="20"/>
          <w:color w:val="auto"/>
        </w:rPr>
      </w:pPr>
      <w:r>
        <w:rPr>
          <w:rFonts w:ascii="Arial" w:cs="Arial" w:eastAsia="Arial" w:hAnsi="Arial"/>
          <w:sz w:val="17"/>
          <w:szCs w:val="17"/>
          <w:color w:val="auto"/>
        </w:rPr>
        <w:t>We have worked with regulators since our inception to ensure we operate in compliance with applicable laws and regulations. AI lending expands access to affordable credit by constantly finding new ways to identify qualified borrowers, yet AI models must avoid unlawful disparate impact or statistical bias that would be harmful to protected groups. We have demonstrated to the CFPB that our platform does not introduce unlawful bias to the credit decision and we have developed sophisticated reporting procedures to ensure future versions of the model remain fair.</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2017, we received the CFPB’s first no-action letter. The CFPB issues no-action letters to reduce potential regulatory uncertainty for innovative products that may offer significant consumer benefit. On November 30, 2020, at the expiration of our first no-action letter, we received a new no-action letter from the CFPB, which expires on November 30, 2023. At this time, we do not know of any other lending platforms that have received similar no-action letters for fair lending from the CFPB.</w:t>
      </w:r>
    </w:p>
    <w:p>
      <w:pPr>
        <w:spacing w:after="0" w:line="21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Our Growth Strategy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Model Improvements</w:t>
      </w:r>
    </w:p>
    <w:p>
      <w:pPr>
        <w:spacing w:after="0" w:line="239"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8"/>
          <w:szCs w:val="18"/>
          <w:color w:val="auto"/>
        </w:rPr>
        <w:t>Our growth has historically been driven by AI model improvements and technology upgrades, and we expect this trend to continue for the foreseeable future. Model upgrades typically result in higher approval rates, better loan offers, higher degrees of automation and other improvements that increase our total number of funded loans. As our model accuracy increases, we are able to re-target and approve consumers who previously visited our site but were not eligible for a loan.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Efficient Funding</w:t>
      </w:r>
    </w:p>
    <w:p>
      <w:pPr>
        <w:spacing w:after="0" w:line="239" w:lineRule="exact"/>
        <w:rPr>
          <w:sz w:val="20"/>
          <w:szCs w:val="20"/>
          <w:color w:val="auto"/>
        </w:rPr>
      </w:pPr>
    </w:p>
    <w:p>
      <w:pPr>
        <w:jc w:val="both"/>
        <w:ind w:firstLine="551"/>
        <w:spacing w:after="0" w:line="301" w:lineRule="auto"/>
        <w:rPr>
          <w:sz w:val="20"/>
          <w:szCs w:val="20"/>
          <w:color w:val="auto"/>
        </w:rPr>
      </w:pPr>
      <w:r>
        <w:rPr>
          <w:rFonts w:ascii="Arial" w:cs="Arial" w:eastAsia="Arial" w:hAnsi="Arial"/>
          <w:sz w:val="16"/>
          <w:szCs w:val="16"/>
          <w:color w:val="auto"/>
        </w:rPr>
        <w:t>Growth is also driven by a reduced cost of funding for Upstart-powered loans. This can happen because more banks adopt our platform, or existing partners increase their budget for Upstart-powered loans. Cost of funding can also be reduced as bank partners gain more confidence in our models and lower some of the constraints they choose to place on their lending program. The cost of funding through institutional investors can also improve over time, based on market conditions and as credit rating agencies and loan and residual buyers gain confidence in the credit performance of Upstart-powered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Distribution</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Today, the vast majority of borrowers are referred to our bank partners via Upstart.com. But these banks are also beginning to offer Upstart-powered loans through their own websites, supported by their own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programs. We expect the bank-driven distribution of Upstart-powered loans to grow over time, as more bank partners roll out bank-branded versions of Upstart to serve their new and existing customers directly.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Products</w:t>
      </w:r>
    </w:p>
    <w:p>
      <w:pPr>
        <w:spacing w:after="0" w:line="239"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8"/>
          <w:szCs w:val="18"/>
          <w:color w:val="auto"/>
        </w:rPr>
        <w:t>Personal loans are one of the fastest-growing segments of consumer credit in the U.S., but they are far from the largest. As we apply our AI models and technology to other credit verticals, we will be able to serve the needs of more consumers and to play a broader technology enablement role for our bank partners. There is significant opportunity to expand from personal loans and auto loans to small business loans, small dollar loans, mortgages and beyond.</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2020, we began offering auto loans on our platform and in September 2020, the first auto loan was originated through the Upstart platform. In the year ended December 31, 2021, approximately 5,800 auto loans were originated through Upstart.com. In October 2021, we announced the launch of Upstart Auto Retail software, and as of December 31, 2021 more than 400 dealer locations have adopted the software.</w:t>
      </w:r>
    </w:p>
    <w:p>
      <w:pPr>
        <w:spacing w:after="0" w:line="188"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Our Platform</w:t>
      </w:r>
    </w:p>
    <w:p>
      <w:pPr>
        <w:spacing w:after="0" w:line="243" w:lineRule="exact"/>
        <w:rPr>
          <w:sz w:val="20"/>
          <w:szCs w:val="20"/>
          <w:color w:val="auto"/>
        </w:rPr>
      </w:pPr>
    </w:p>
    <w:p>
      <w:pPr>
        <w:jc w:val="both"/>
        <w:ind w:firstLine="551"/>
        <w:spacing w:after="0" w:line="277" w:lineRule="auto"/>
        <w:rPr>
          <w:sz w:val="20"/>
          <w:szCs w:val="20"/>
          <w:color w:val="auto"/>
        </w:rPr>
      </w:pPr>
      <w:r>
        <w:rPr>
          <w:rFonts w:ascii="Arial" w:cs="Arial" w:eastAsia="Arial" w:hAnsi="Arial"/>
          <w:sz w:val="18"/>
          <w:szCs w:val="18"/>
          <w:color w:val="auto"/>
        </w:rPr>
        <w:t>Our AI lending platform enables banks to provide consumers access to credit. The first credit product offered through our platform was an unsecured personal loan.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Consumers</w:t>
      </w:r>
    </w:p>
    <w:p>
      <w:pPr>
        <w:spacing w:after="0" w:line="239" w:lineRule="exact"/>
        <w:rPr>
          <w:sz w:val="20"/>
          <w:szCs w:val="20"/>
          <w:color w:val="auto"/>
        </w:rPr>
      </w:pPr>
    </w:p>
    <w:p>
      <w:pPr>
        <w:jc w:val="both"/>
        <w:ind w:firstLine="551"/>
        <w:spacing w:after="0" w:line="263" w:lineRule="auto"/>
        <w:rPr>
          <w:sz w:val="20"/>
          <w:szCs w:val="20"/>
          <w:color w:val="auto"/>
        </w:rPr>
      </w:pPr>
      <w:r>
        <w:rPr>
          <w:rFonts w:ascii="Arial" w:cs="Arial" w:eastAsia="Arial" w:hAnsi="Arial"/>
          <w:sz w:val="18"/>
          <w:szCs w:val="18"/>
          <w:color w:val="auto"/>
        </w:rPr>
        <w:t>We have built a mobile-responsive web application at Upstart.com, where consumers can quickly and easily inquire about a rate, evaluate and choose a loan offer, provide necessary information for verification and review required disclosures before final acceptance of the loan. A virtually identical experience is also offered as a bank-branded product on bank partners’ websites.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Partners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platform is designed to help our bank partners originate loans according to their unique requirements. In order to do this, we provide a wide variety of options for banks to define and control their lending program.</w:t>
      </w:r>
    </w:p>
    <w:p>
      <w:pPr>
        <w:spacing w:after="0" w:line="62"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Upstart Referral Network</w:t>
      </w:r>
      <w:r>
        <w:rPr>
          <w:rFonts w:ascii="Arial" w:cs="Arial" w:eastAsia="Arial" w:hAnsi="Arial"/>
          <w:sz w:val="17"/>
          <w:szCs w:val="17"/>
          <w:color w:val="auto"/>
        </w:rPr>
        <w:t>—Once we aggregate consumer demand on our website, we pass those customers to our bank partners.</w:t>
      </w:r>
    </w:p>
    <w:p>
      <w:pPr>
        <w:spacing w:after="0" w:line="115" w:lineRule="exact"/>
        <w:rPr>
          <w:rFonts w:ascii="Arial" w:cs="Arial" w:eastAsia="Arial" w:hAnsi="Arial"/>
          <w:sz w:val="17"/>
          <w:szCs w:val="17"/>
          <w:i w:val="1"/>
          <w:iCs w:val="1"/>
          <w:color w:val="auto"/>
        </w:rPr>
      </w:pPr>
    </w:p>
    <w:p>
      <w:pPr>
        <w:ind w:left="980" w:right="420" w:hanging="324"/>
        <w:spacing w:after="0" w:line="261"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Bank-branded product</w:t>
      </w:r>
      <w:r>
        <w:rPr>
          <w:rFonts w:ascii="Arial" w:cs="Arial" w:eastAsia="Arial" w:hAnsi="Arial"/>
          <w:sz w:val="18"/>
          <w:szCs w:val="18"/>
          <w:color w:val="auto"/>
        </w:rPr>
        <w:t>—Bank partners can serve customers with a bank-branded Upstart application on their own website or mobile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w:t>
      </w:r>
    </w:p>
    <w:p>
      <w:pPr>
        <w:spacing w:after="0" w:line="62" w:lineRule="exact"/>
        <w:rPr>
          <w:rFonts w:ascii="Arial" w:cs="Arial" w:eastAsia="Arial" w:hAnsi="Arial"/>
          <w:sz w:val="18"/>
          <w:szCs w:val="18"/>
          <w:color w:val="auto"/>
        </w:rPr>
      </w:pPr>
    </w:p>
    <w:p>
      <w:pPr>
        <w:jc w:val="both"/>
        <w:ind w:left="980" w:right="400" w:hanging="324"/>
        <w:spacing w:after="0" w:line="248"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Configurations</w:t>
      </w:r>
      <w:r>
        <w:rPr>
          <w:rFonts w:ascii="Arial" w:cs="Arial" w:eastAsia="Arial" w:hAnsi="Arial"/>
          <w:sz w:val="18"/>
          <w:szCs w:val="18"/>
          <w:color w:val="auto"/>
        </w:rPr>
        <w:t>—Because banks have complete authority and control over their lending programs, our bank partners predetermine many</w:t>
      </w:r>
      <w:r>
        <w:rPr>
          <w:rFonts w:ascii="Arial" w:cs="Arial" w:eastAsia="Arial" w:hAnsi="Arial"/>
          <w:sz w:val="18"/>
          <w:szCs w:val="18"/>
          <w:i w:val="1"/>
          <w:iCs w:val="1"/>
          <w:color w:val="auto"/>
        </w:rPr>
        <w:t xml:space="preserve"> </w:t>
      </w:r>
      <w:r>
        <w:rPr>
          <w:rFonts w:ascii="Arial" w:cs="Arial" w:eastAsia="Arial" w:hAnsi="Arial"/>
          <w:sz w:val="18"/>
          <w:szCs w:val="18"/>
          <w:color w:val="auto"/>
        </w:rPr>
        <w:t>aspects of their loan offering, including interest rate and loan size ranges, maximum target loss rate, minimum credit score, maximum debt-to-income ratio, target returns for various risk profiles, fee structures and disclosures.</w:t>
      </w:r>
    </w:p>
    <w:p>
      <w:pPr>
        <w:spacing w:after="0" w:line="73" w:lineRule="exact"/>
        <w:rPr>
          <w:rFonts w:ascii="Arial" w:cs="Arial" w:eastAsia="Arial" w:hAnsi="Arial"/>
          <w:sz w:val="18"/>
          <w:szCs w:val="18"/>
          <w:color w:val="auto"/>
        </w:rPr>
      </w:pPr>
    </w:p>
    <w:p>
      <w:pPr>
        <w:jc w:val="both"/>
        <w:ind w:left="980" w:right="400" w:hanging="324"/>
        <w:spacing w:after="0" w:line="248"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Servicing</w:t>
      </w:r>
      <w:r>
        <w:rPr>
          <w:rFonts w:ascii="Arial" w:cs="Arial" w:eastAsia="Arial" w:hAnsi="Arial"/>
          <w:sz w:val="18"/>
          <w:szCs w:val="18"/>
          <w:color w:val="auto"/>
        </w:rPr>
        <w:t>—While most bank partners choose to have us service their loans (through a bank-branded servicing portal), each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of directly servicing loans itself. Our servicing platform manages all communication with borrowers, credit reporting agencies, and when necessary, collections agencies.</w:t>
      </w:r>
    </w:p>
    <w:p>
      <w:pPr>
        <w:spacing w:after="0" w:line="73" w:lineRule="exact"/>
        <w:rPr>
          <w:rFonts w:ascii="Arial" w:cs="Arial" w:eastAsia="Arial" w:hAnsi="Arial"/>
          <w:sz w:val="18"/>
          <w:szCs w:val="18"/>
          <w:color w:val="auto"/>
        </w:rPr>
      </w:pPr>
    </w:p>
    <w:p>
      <w:pPr>
        <w:jc w:val="both"/>
        <w:ind w:left="980" w:right="400" w:hanging="324"/>
        <w:spacing w:after="0" w:line="294" w:lineRule="auto"/>
        <w:tabs>
          <w:tab w:leader="none" w:pos="97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Access to capital markets</w:t>
      </w:r>
      <w:r>
        <w:rPr>
          <w:rFonts w:ascii="Arial" w:cs="Arial" w:eastAsia="Arial" w:hAnsi="Arial"/>
          <w:sz w:val="16"/>
          <w:szCs w:val="16"/>
          <w:color w:val="auto"/>
        </w:rPr>
        <w:t>—We have built a broad network of institutional investors who provide funding support to bank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secondary loan purchasing and issuance of pass-through certificates and asset-backed securitizations. A significant portion of the loans originated by CRB and one other bank partner are sold to institutional investors through one of our funding programs.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Upstart’s AI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AI models underpinning the Upstart platform are central to its efficacy and the high-quality experience we provide to borrowers. The key aspects of our AI models include: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Variables in our AI models have increased from 23 in 2014 to more than 1,500 as of December 31, 2021. These include factors related to credit experience, employment, educational history, bank account transactions, cost of living and loan application interactions.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Data</w:t>
      </w:r>
    </w:p>
    <w:p>
      <w:pPr>
        <w:spacing w:after="0" w:line="2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2021, our models have been trained by more than 21.6 million repayment events such as a successful repayment or a delinquency. Upstart’s models learn from repayment data even while loan principal remains outstanding, allowing the models to improve in real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Modeling Techniques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Growth in training data has enabled the development of increasingly sophisticated modeling techniques. For example, while earlier versions of our AI models were centered on logistic regression, our more recent models incorporate stochastic gradient boosting. We expect that our data science investments and continued growth of training data will unlock even more powerful techniques over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Model Applications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While our first model focused on predicting the likelihood of loan default, we have since applied models throughout the process of credit origination. These models quantify and reduce risk in various ways, while also increasing automation and funnel conversion.</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currently active AI models within the Upstart platform—shared by and available to all Upstart’s bank partners—include:</w:t>
      </w:r>
    </w:p>
    <w:p>
      <w:pPr>
        <w:spacing w:after="0" w:line="11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Fee optimization</w:t>
      </w:r>
      <w:r>
        <w:rPr>
          <w:rFonts w:ascii="Arial" w:cs="Arial" w:eastAsia="Arial" w:hAnsi="Arial"/>
          <w:sz w:val="18"/>
          <w:szCs w:val="18"/>
          <w:color w:val="auto"/>
        </w:rPr>
        <w:t>—optimizes assignment of origination fees;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Income fraud</w:t>
      </w:r>
      <w:r>
        <w:rPr>
          <w:rFonts w:ascii="Arial" w:cs="Arial" w:eastAsia="Arial" w:hAnsi="Arial"/>
          <w:sz w:val="18"/>
          <w:szCs w:val="18"/>
          <w:color w:val="auto"/>
        </w:rPr>
        <w:t>—quantifies potential misrepresentation of borrower income;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Acquisition targeting</w:t>
      </w:r>
      <w:r>
        <w:rPr>
          <w:rFonts w:ascii="Arial" w:cs="Arial" w:eastAsia="Arial" w:hAnsi="Arial"/>
          <w:sz w:val="18"/>
          <w:szCs w:val="18"/>
          <w:color w:val="auto"/>
        </w:rPr>
        <w:t>—identifies consumers likely to qualify for and have need for a loan;</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Loan stacking</w:t>
      </w:r>
      <w:r>
        <w:rPr>
          <w:rFonts w:ascii="Arial" w:cs="Arial" w:eastAsia="Arial" w:hAnsi="Arial"/>
          <w:sz w:val="18"/>
          <w:szCs w:val="18"/>
          <w:color w:val="auto"/>
        </w:rPr>
        <w:t>—identifies consumers likely to take out multiple loans in a short period of time;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Prepayment prediction</w:t>
      </w:r>
      <w:r>
        <w:rPr>
          <w:rFonts w:ascii="Arial" w:cs="Arial" w:eastAsia="Arial" w:hAnsi="Arial"/>
          <w:sz w:val="18"/>
          <w:szCs w:val="18"/>
          <w:color w:val="auto"/>
        </w:rPr>
        <w:t>—quantifies the likelihood that a consumer will make payments on a loan earlier than originally scheduled;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Identity fraud</w:t>
      </w:r>
      <w:r>
        <w:rPr>
          <w:rFonts w:ascii="Arial" w:cs="Arial" w:eastAsia="Arial" w:hAnsi="Arial"/>
          <w:sz w:val="18"/>
          <w:szCs w:val="18"/>
          <w:color w:val="auto"/>
        </w:rPr>
        <w:t>—quantifies the risk that an applicant is misrepresenting their identity;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Time-delimited default prediction</w:t>
      </w:r>
      <w:r>
        <w:rPr>
          <w:rFonts w:ascii="Arial" w:cs="Arial" w:eastAsia="Arial" w:hAnsi="Arial"/>
          <w:sz w:val="18"/>
          <w:szCs w:val="18"/>
          <w:color w:val="auto"/>
        </w:rPr>
        <w:t>—quantifies the likelihood of default for each period of the loan term.</w:t>
      </w:r>
    </w:p>
    <w:p>
      <w:pPr>
        <w:spacing w:after="0" w:line="23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Our Technology Infrastructure</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cloud-based software platform incorporates modern technologies and software development approaches to allow for rapid development of new features.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Cloud-Native Technologies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run our technology platform as containerized services on the AWS cloud. Our architecture is designed for high availability and horizontal scalability. Our primary development platforms are Ruby on Rails and Python, but our Kubernetes-based compute environment gives us the flexibility to run heterogeneous workloads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minimal operational overhead. We deploy new software regularly without platform downtime, allowing borrowers and banks to immediately benefit from the latest updates to our platform.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Integrity and Security</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information security program governs how we safeguard the confidentiality, integrity, and availability of our consumer data. Our environment is continuously monitored with a suite of tools designed to detect security events in both internal and user-facing systems. We engage with third parties to audit our security program and to perform regular penetration tests of our Web application and cloud environment.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Configurable Multi-Tenant Architecture</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multi-tenant architecture enables multiple bank partners to use the same version of our application while securely segmenting their data. Though all tenants are using the same version of our platform, our software is designed to be highly configurable to meet the needs of our diverse bank partners, allowing customizations to everything from the applicant user interface to the core rules governing credit decisioning.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 Learning Platform</w:t>
      </w:r>
    </w:p>
    <w:p>
      <w:pPr>
        <w:spacing w:after="0" w:line="2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order to support innovation in our underwriting, fraud detection and acquisition models, we have developed proprietary technologies to enable our machine learning team to develop, train, test and deploy new model updates with minimal engineering support. Our backend systems are designed to flexibly integrate with multiple third-party data sources to feed these models and support real-time decisioning.</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Responsive Web Design</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user interface is responsive to ensure applicants and borrowers have a smooth experience regardless of whether they are accessing our website from a desktop, mobile device or tablet.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Robust Reporting and Integration Capabilities</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Our reporting APIs provide investors and bank partners the ability to access data through a programmatic interface. Our integration capabilities with bank partners include an ability to pre-fill applicant information via API and provide loan details in real-time to facilitate a seamless process from application to origination. In December 2020, we launched a bank reporting portal which provides our bank partners with a centralized console to view real time performance metrics of their lending program, view and verify their credit policy and program configuration, and on-demand access to operational reports and documents.</w:t>
      </w:r>
    </w:p>
    <w:p>
      <w:pPr>
        <w:spacing w:after="0" w:line="21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Consumer Marketing</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growth and marketing approach is driven by the strength of our product and the interest rates we offer. While many lenders see consumer choice as a detractor from sales volume, we benefit when consumers compare our offers to other lenders’ offers. Over time, our ability to offer lower rates than our competitors has improved significantly. Because our model changes in real time, we are able to extend new offer loans to applicants who were previously not eligible or were previously quoted a higher rate.</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growth and marketing initiatives are primarily focused on bringing potential borrowers to Upstart.com, where they can learn if they qualify for a loan from one of our bank partners and on what terms in only a few minutes. Our consumer acquisition channels combine a mix of online and offline, as well as paid and unpaid, channels. While we constantly experiment to expand and optimize our acquisition strategies, our largest channels include:</w:t>
      </w:r>
    </w:p>
    <w:p>
      <w:pPr>
        <w:spacing w:after="0" w:line="41" w:lineRule="exact"/>
        <w:rPr>
          <w:sz w:val="20"/>
          <w:szCs w:val="20"/>
          <w:color w:val="auto"/>
        </w:rPr>
      </w:pPr>
    </w:p>
    <w:p>
      <w:pPr>
        <w:ind w:left="980" w:hanging="324"/>
        <w:spacing w:after="0" w:line="261"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Marketing affiliates</w:t>
      </w:r>
      <w:r>
        <w:rPr>
          <w:rFonts w:ascii="Arial" w:cs="Arial" w:eastAsia="Arial" w:hAnsi="Arial"/>
          <w:sz w:val="18"/>
          <w:szCs w:val="18"/>
          <w:color w:val="auto"/>
        </w:rPr>
        <w:t>—A variety of online media partners, such as loan aggregators, send us traffic on a cost per origination basis. Many loan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aggregators also incorporate credit data to provide online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80"/>
        <w:spacing w:after="0" w:line="261" w:lineRule="auto"/>
        <w:rPr>
          <w:sz w:val="20"/>
          <w:szCs w:val="20"/>
          <w:color w:val="auto"/>
        </w:rPr>
      </w:pPr>
      <w:r>
        <w:rPr>
          <w:rFonts w:ascii="Arial" w:cs="Arial" w:eastAsia="Arial" w:hAnsi="Arial"/>
          <w:sz w:val="18"/>
          <w:szCs w:val="18"/>
          <w:color w:val="auto"/>
        </w:rPr>
        <w:t>prescreened offers, which leads to highly targeted and interested referrals. For example, a significant number of consumers that apply for a loan on Upstart.com learn about and access Upstart.com through the website of one of our partners, Credit Karma.</w:t>
      </w:r>
    </w:p>
    <w:p>
      <w:pPr>
        <w:spacing w:after="0" w:line="63" w:lineRule="exact"/>
        <w:rPr>
          <w:sz w:val="20"/>
          <w:szCs w:val="20"/>
          <w:color w:val="auto"/>
        </w:rPr>
      </w:pPr>
    </w:p>
    <w:p>
      <w:pPr>
        <w:jc w:val="both"/>
        <w:ind w:left="980" w:hanging="324"/>
        <w:spacing w:after="0" w:line="248"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Direct mail</w:t>
      </w:r>
      <w:r>
        <w:rPr>
          <w:rFonts w:ascii="Arial" w:cs="Arial" w:eastAsia="Arial" w:hAnsi="Arial"/>
          <w:sz w:val="18"/>
          <w:szCs w:val="18"/>
          <w:color w:val="auto"/>
        </w:rPr>
        <w:t>—We apply our strengths in data science to target individuals who both qualify for and may have a need for an Upstart-powered</w:t>
      </w:r>
      <w:r>
        <w:rPr>
          <w:rFonts w:ascii="Arial" w:cs="Arial" w:eastAsia="Arial" w:hAnsi="Arial"/>
          <w:sz w:val="18"/>
          <w:szCs w:val="18"/>
          <w:i w:val="1"/>
          <w:iCs w:val="1"/>
          <w:color w:val="auto"/>
        </w:rPr>
        <w:t xml:space="preserve"> </w:t>
      </w:r>
      <w:r>
        <w:rPr>
          <w:rFonts w:ascii="Arial" w:cs="Arial" w:eastAsia="Arial" w:hAnsi="Arial"/>
          <w:sz w:val="18"/>
          <w:szCs w:val="18"/>
          <w:color w:val="auto"/>
        </w:rPr>
        <w:t>loan. The ability to analyze an individual’s credit data to target and mail prescreened offers of credit gives this channel a meaningful data advantage over other channels.</w:t>
      </w:r>
    </w:p>
    <w:p>
      <w:pPr>
        <w:spacing w:after="0" w:line="73" w:lineRule="exact"/>
        <w:rPr>
          <w:rFonts w:ascii="Arial" w:cs="Arial" w:eastAsia="Arial" w:hAnsi="Arial"/>
          <w:sz w:val="18"/>
          <w:szCs w:val="18"/>
          <w:color w:val="auto"/>
        </w:rPr>
      </w:pPr>
    </w:p>
    <w:p>
      <w:pPr>
        <w:ind w:left="980" w:right="20" w:hanging="324"/>
        <w:spacing w:after="0" w:line="261"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Organic traffic</w:t>
      </w:r>
      <w:r>
        <w:rPr>
          <w:rFonts w:ascii="Arial" w:cs="Arial" w:eastAsia="Arial" w:hAnsi="Arial"/>
          <w:sz w:val="18"/>
          <w:szCs w:val="18"/>
          <w:color w:val="auto"/>
        </w:rPr>
        <w:t>—As our brand recognition and reputation grow, an increasing number of potential borrowers come directly to Upstart.com</w:t>
      </w:r>
      <w:r>
        <w:rPr>
          <w:rFonts w:ascii="Arial" w:cs="Arial" w:eastAsia="Arial" w:hAnsi="Arial"/>
          <w:sz w:val="18"/>
          <w:szCs w:val="18"/>
          <w:i w:val="1"/>
          <w:iCs w:val="1"/>
          <w:color w:val="auto"/>
        </w:rPr>
        <w:t xml:space="preserve"> </w:t>
      </w:r>
      <w:r>
        <w:rPr>
          <w:rFonts w:ascii="Arial" w:cs="Arial" w:eastAsia="Arial" w:hAnsi="Arial"/>
          <w:sz w:val="18"/>
          <w:szCs w:val="18"/>
          <w:color w:val="auto"/>
        </w:rPr>
        <w:t>simply by word of mouth.</w:t>
      </w:r>
    </w:p>
    <w:p>
      <w:pPr>
        <w:spacing w:after="0" w:line="62" w:lineRule="exact"/>
        <w:rPr>
          <w:rFonts w:ascii="Arial" w:cs="Arial" w:eastAsia="Arial" w:hAnsi="Arial"/>
          <w:sz w:val="18"/>
          <w:szCs w:val="18"/>
          <w:color w:val="auto"/>
        </w:rPr>
      </w:pPr>
    </w:p>
    <w:p>
      <w:pPr>
        <w:ind w:left="980" w:hanging="324"/>
        <w:spacing w:after="0" w:line="261"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Email marketing</w:t>
      </w:r>
      <w:r>
        <w:rPr>
          <w:rFonts w:ascii="Arial" w:cs="Arial" w:eastAsia="Arial" w:hAnsi="Arial"/>
          <w:sz w:val="18"/>
          <w:szCs w:val="18"/>
          <w:color w:val="auto"/>
        </w:rPr>
        <w:t>—We have an automated email program that sends customized messages and reminders to potential borrowers once they</w:t>
      </w:r>
      <w:r>
        <w:rPr>
          <w:rFonts w:ascii="Arial" w:cs="Arial" w:eastAsia="Arial" w:hAnsi="Arial"/>
          <w:sz w:val="18"/>
          <w:szCs w:val="18"/>
          <w:i w:val="1"/>
          <w:iCs w:val="1"/>
          <w:color w:val="auto"/>
        </w:rPr>
        <w:t xml:space="preserve"> </w:t>
      </w:r>
      <w:r>
        <w:rPr>
          <w:rFonts w:ascii="Arial" w:cs="Arial" w:eastAsia="Arial" w:hAnsi="Arial"/>
          <w:sz w:val="18"/>
          <w:szCs w:val="18"/>
          <w:color w:val="auto"/>
        </w:rPr>
        <w:t>have created accounts to encourage them to complete their loan application.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Online advertising</w:t>
      </w:r>
      <w:r>
        <w:rPr>
          <w:rFonts w:ascii="Arial" w:cs="Arial" w:eastAsia="Arial" w:hAnsi="Arial"/>
          <w:sz w:val="17"/>
          <w:szCs w:val="17"/>
          <w:color w:val="auto"/>
        </w:rPr>
        <w:t>—Search engines and social channels enable targeted outreach to potential borrowers with specific messages.</w:t>
      </w:r>
    </w:p>
    <w:p>
      <w:pPr>
        <w:spacing w:after="0" w:line="115" w:lineRule="exact"/>
        <w:rPr>
          <w:rFonts w:ascii="Arial" w:cs="Arial" w:eastAsia="Arial" w:hAnsi="Arial"/>
          <w:sz w:val="17"/>
          <w:szCs w:val="17"/>
          <w:color w:val="auto"/>
        </w:rPr>
      </w:pPr>
    </w:p>
    <w:p>
      <w:pPr>
        <w:ind w:left="980" w:hanging="324"/>
        <w:spacing w:after="0" w:line="324" w:lineRule="auto"/>
        <w:tabs>
          <w:tab w:leader="none" w:pos="97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Podcast advertising</w:t>
      </w:r>
      <w:r>
        <w:rPr>
          <w:rFonts w:ascii="Arial" w:cs="Arial" w:eastAsia="Arial" w:hAnsi="Arial"/>
          <w:sz w:val="16"/>
          <w:szCs w:val="16"/>
          <w:color w:val="auto"/>
        </w:rPr>
        <w:t>—We purchase 30 or 60-second advertising placements on podcasts with a listener base that we believe overlaps with</w:t>
      </w:r>
      <w:r>
        <w:rPr>
          <w:rFonts w:ascii="Arial" w:cs="Arial" w:eastAsia="Arial" w:hAnsi="Arial"/>
          <w:sz w:val="16"/>
          <w:szCs w:val="16"/>
          <w:i w:val="1"/>
          <w:iCs w:val="1"/>
          <w:color w:val="auto"/>
        </w:rPr>
        <w:t xml:space="preserve"> </w:t>
      </w:r>
      <w:r>
        <w:rPr>
          <w:rFonts w:ascii="Arial" w:cs="Arial" w:eastAsia="Arial" w:hAnsi="Arial"/>
          <w:sz w:val="16"/>
          <w:szCs w:val="16"/>
          <w:color w:val="auto"/>
        </w:rPr>
        <w:t>Upstart’s target consumer base. These advertisements are designed by the Upstart team but are delivered to listeners by the podcast hosts.</w:t>
      </w:r>
    </w:p>
    <w:p>
      <w:pPr>
        <w:spacing w:after="0" w:line="16" w:lineRule="exact"/>
        <w:rPr>
          <w:rFonts w:ascii="Arial" w:cs="Arial" w:eastAsia="Arial" w:hAnsi="Arial"/>
          <w:sz w:val="16"/>
          <w:szCs w:val="16"/>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Streaming television advertising</w:t>
      </w:r>
      <w:r>
        <w:rPr>
          <w:rFonts w:ascii="Arial" w:cs="Arial" w:eastAsia="Arial" w:hAnsi="Arial"/>
          <w:sz w:val="17"/>
          <w:szCs w:val="17"/>
          <w:color w:val="auto"/>
        </w:rPr>
        <w:t>—Television is a broader branding opportunity for Upstart which we have recently started pursuing.</w:t>
      </w:r>
    </w:p>
    <w:p>
      <w:pPr>
        <w:spacing w:after="0" w:line="2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Bank Partnerships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target a wide range of small, medium, and large banks and credit unions with an appetite to invest in improved underwriting, digital originations and unsecured lending. As of December 31, 2021, we had 38 bank partners.</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CRB originates a large fraction of the whole loans sold to institutional investors under our loan funding programs. For the years ended December 31, 2019, 2020 and 2021, fees received from CRB accounted for 80%, 63% and 56%, of our total revenue, respectively. We have entered into a loan program agreement that governs the terms and conditions between us and CRB with respect to loans facilitated through our platform and issued by CRB.</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have also entered into separate agreements with each of our other bank partners. Our agreements with our bank partners are non-exclusive, generally have 12-month terms that automatically renew, subject to certain early termination provisions, and may contain minimum fee amounts.</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platform includes a cloud-based web application for all user interactions, including rate inquiry, loan offer presentation, adverse action notification, bank account verification and connectivity, borrower identity and credential verification, disclosure presentation and loan servicing. The software includes a variety of embedded AI models supporting and automating fraud prevention, credit decisioning and borrower verification. Bank partners also have access to an administrative interface for reporting and program management. We also perform regulatory fairness tests on bank partners’ behalf.</w:t>
      </w:r>
    </w:p>
    <w:p>
      <w:pPr>
        <w:spacing w:after="0" w:line="21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Institutional Investors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platform allows bank partners to originate and retain loans that meet their business objectives. Because banks vary with respect to program objectives, risk tolerance and funding capacity, each bank’s program parameters can vary significantly.</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By leveraging our institutional investors’ broad and diverse capacity to absorb and distribute credit risk, we can develop our business and our AI models faster than if we relied only on the funding capacity of our bank partners. Accordingly, our growth is not limited by bank funding capacity or risk tolerance. The combination of bank and institutional investor funding provides our platform with competitive and diverse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network of institutional investors includes purchasers of whole loans originated via Upstart’s platform, as well as capital markets investors that buy securities, such as pass-through certificates. In the case of whole loan purchasers, we typically enter into loan purchase agreements and loan servicing agreements with such purchasers. The loan purchase agreements provide for the purchaser to place requests (ordinarily on a monthly basis) to purchase pools of whole loans originated via Upstart’s platform by certain bank partners. Investors may also purchase interests in loans originated via Upstart’s platform in the form of pass-through certificates rather than whole loans. We have pass-through certificate programs sponsored by certain financial institutions under which investors can purchase securities collateralized by Upstart-powered loans from an issuer trust.</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While there are minimal differences between whole loan sales and sales of pass-through certificates from Upstart’s perspective, both programs are offered to provide flexibility to investors in our loan funding programs. Institutional investors may prefer pass-through certificates, which are more liquid, while other institutional investors may prefer whole loan purchases, which are generally more cost effective.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whole loans or pass-through certificates purchased after origination may later be included in our asset-backed securitization transactions whereby interests in these Upstart-powered loans are sold to other institutional investors.</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our asset-backed securitization transactions, we engage with investment banks to structure investments under which we and/or certain of the purchasers of whole loans or pass-through certificates described in the preceding paragraphs sell pools of whole loans to a bankruptcy-remote securitization special purpose entity. The special purpose entities, through one or more intermediate transfers and entities, create and sell tranched asset-backed notes and subordinated certificates, in each case, backed by the collective pools of Upstart-powered loans sold into the investment structure. We are typically retained by participating institutional investors to service the loans, and act in such servicing capacity for the life of the investment transaction.</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Operations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developed sophisticated tools that our internal operations team uses to support the origination and servicing of credit. While verification is primarily and increasingly handled by our software and AI models, we also offer Upstart-designed tools to guide credit analysts and fraud specialists in cases where our software is not yet able to sufficiently verify borrower information. By providing a prescriptive and unique path for each applicant, our system helps our operations team provide a streamlined experience for as many borrowers as possible.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operations teams, including credit analysts, fraud specialists, customer support and payments specialists, work to deliver a seamless user experience to consumers on behalf of our bank partners.</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team focuses on the minority of borrowers whose applications are not entirely automated or any applicant who has questions or issues throughout the application process. While 31% of Upstart-powered loans involve human processing, the vast majority of these loans are not fraudulent. Thus, our team focuses on expediting applicants through the process to the extent possible and appropriate, while identifying and rejecting fraudulent applications. Our operations team works closely with our engineering and machine learning teams to further increase our levels of automation.</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Most prospective borrowers and applicants interact with Upstart via our online platform and help center, but we also make agent-based support readily available to all borrowers. For phone support, we partner with an external call center vendor and have a team of dedicated Upstart agents with specialized training.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Upstart-powered loans are serviced via our homegrown platform. For borrowers who miss payments, we focus on early intervention and attempt to reach them via emails, calls, texts and skip-trace to help bring their account current or offer hardship options in accordance with our servicing policies. Borrowers on our platform are supported via a combination of internal payments specialists and third-party service providers.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conduct collections activities in house. Accounts that are more than 30 days past due are referred to third-party collection agencies for collections. Debt collection calls and collection performance are reviewed regularly by our vendor management and quality assurance teams. Our operations and compliance teams each also perform onsite audits annually.</w:t>
      </w:r>
    </w:p>
    <w:p>
      <w:pPr>
        <w:spacing w:after="0" w:line="20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Competition</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Consumer lending is a vast and competitive market, and we compete in varying degrees with all other sources of unsecured consumer credit, including banks, non-bank lenders (including retail-based lenders) and other financial technology lending platforms. Because personal loans often serve as a replacement for credit cards, we also compete with the convenience and ubiquity that credit cards represent.</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the bank partnership side, we compete with a variety of technology companies that aim to help banks with the digital transformation of their business, particularly with respect to all-digital lending. This includes new products from legacy bank technology providers as well as newer companies focused entirely on lending software infrastructure for banks. We may also face competition from banks or companies that have not previously competed in the consumer lending market, including companies with large and experienced machine learning teams and access to vast amounts of consumer-related information that could be used in the development of their own credit risk models.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1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Constantly improving AI models;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Compelling loan offers to consumers that improve regularly;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Automated and user-friendly loan application process;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Consistent and predictable loan performance;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Cloud-native, multi-tenant architecture;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Combination of technology and customer acquisition for bank partners;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Robust and diverse loan funding program;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Brand recognition and trust.</w:t>
      </w:r>
    </w:p>
    <w:p>
      <w:pPr>
        <w:spacing w:after="0" w:line="23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Government Regulation</w:t>
      </w:r>
    </w:p>
    <w:p>
      <w:pPr>
        <w:spacing w:after="0" w:line="2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and the loans made through our platform by our bank partners are subject to extensive and complex rules and regulations and examination by various federal, state and local government authorities. Failure to comply with any of the applicable rules and regulations may result in, among other things, revocation of required licenses or registration, loss of approved status, effective voiding or rescission of the loan contracts, class action lawsuits, administrative enforcement actions and civil and criminal liability. While compliance with such requirements is at times complicated by our novel business model, we believe we are, at a minimum, in substantial compliance with these rules and regulations.</w:t>
      </w:r>
    </w:p>
    <w:p>
      <w:pPr>
        <w:spacing w:after="0" w:line="20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currently, and expect in the future, to be regulated by the CFPB. In addition to the CFPB, the Federal Trade Commission has jurisdiction to investigate aspects of our business, including with respect to marketing practices. Other state and federal agencies, including prudential bank regulators and state attorneys general have the ability to regulate aspects of our business. Further, we are subject to inspections, examinations, supervision and regulation by applicable agencies in each state in which we are licensed. Regulatory oversight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business may change over time. By way of example, in 2020, the California Consumer Financial Protection Law was enacted, which seeks to emulate the CFPB with respect to its enforcement and supervisory capabilities as well as require additional state registration for certain covered persons. We expect that regulatory examinations by both federal and state agencies will continue, and there can be no assurance that the results of such examinations will not have a material adverse effect on us.</w:t>
      </w:r>
    </w:p>
    <w:p>
      <w:pPr>
        <w:spacing w:after="0" w:line="21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Below, we summarize several of the material federal lending, servicing and related laws applicable to our business. Many states have laws and regulations that are similar to the federal consumer protection laws referred to below, but the degree and nature of such laws and regulations vary from state to state.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Lending and Related Laws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Truth in Lending Act</w:t>
      </w:r>
    </w:p>
    <w:p>
      <w:pPr>
        <w:spacing w:after="0" w:line="2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Truth in Lending Act, or TILA, and Regulation Z, which implements it, require creditors to provide consumers with uniform, understandable information concerning certain terms and conditions of their loan and credit transactions, and to comply with certain lending practice requirements and restrictions. These rules apply to loans facilitated through our platform, and we assist with compliance as part of the services we provide to our bank partners. For closed-end credit transactions, required disclosures include, among others, providing the annual percentage rate, the finance charge, the amount financed, the number of payments, the amount of the monthly payment, the presence and amount of certain fees, and the presence of certain contractual terms. TILA also regulates the advertising of credit and gives borrowers, among other things, certain rights regarding updated disclosures and the treatment of credit balances. We, on behalf of the applicable bank partner, provide applicants with a TILA disclosure when applicants complete their loan applications on our platform. If the applicant’s request is not fully funded and the applicant chooses to accept a lesser amount offered, we provide an updated TILA disclosure on behalf of the applicable bank partner. We also seek to comply with TILA’s disclosure requirements related to credit advertising and, to the extent that we hold or service loans, TILA’s requirements related to treatment of credit balances for closed-end loans. We also can facilitate the origination of a limited number of credit card accounts through our platform. In connection with such accounts, TILA requires the provision of certain solicitation and account-opening disclosures. TILA also imposes requirements on the terms of credit card accounts, and the process of originating and servicing such accounts. Though our platform may facilitate the origination of credit card accounts by a bank partner, we do not originate or service such accounts at this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Credit Opportunity Act</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Equal Credit Opportunity Act, or ECOA, prohibits creditors from discriminating against credit applicants on the basis of race, color, sex, age (provided that the applicant has the capacity to enter into a binding contract), religion, national origin, marital status, the fact that all or part of the applicant’s income derives from any public assistance program, or the fact that the applicant has in good faith exercised any right under the federal Consumer Credit Protection Act or certain state laws. Regulation B, which implements ECOA, restricts creditors from requesting certain types of information from loan applicants or engaging in certain loan-related practices, and from using advertising or making statements that would discourage on a prohibited basis a reasonable person from making or pursuing an application. These requirements apply to bank partners for loans facilitated through our platform as well as to us as a service provider that assists in the process. We abide by policies and procedures implemented by our bank partners to comply with ECOA’s provisions prohibiting discouragement and discrimination. ECOA also requires creditors to provide applicants with timely notices of adverse action taken on credit applications, including disclosing to applicants who have been declined their rights and the reason for their having been declined. On behalf of our bank partners, we provide prospective borrowers who apply for a loan through our platform but are denied credit with an adverse action notice in compliance with applicable requirements.</w:t>
      </w:r>
    </w:p>
    <w:p>
      <w:pPr>
        <w:spacing w:after="0" w:line="20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February 5, 2020, a consumer advocacy group released a report alleging that lenders may charge higher rates to certain borrowers who attend community colleges or historically Black or Hispanic colleges or universities. To support this conclusion, the consumer advocacy group selectively compared the results from only a small number of consumer interest rate inquiries made to, among others, lenders using Upstart’s platform. In addition, on February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13, 2020, we received an inquiry from five members of the U.S. Senate seeking information regarding our compliance with ECOA, and in July 2020, three of these Senators recommended to the CFPB as part of their inquiry findings, that the CFPB further review Upstart’s use of educational variables in its model and requested that the CFPB stop issuing no-action letters related to the ECOA. Upstart strongly disputes the underlying conclusions of the consumer advocacy group’s report as it pertained to Upstart’s practices, given that Upstart’s model considers over 1,500 variables, all of which contribute to the quoted rate. Notwithstanding that we believe our model and our bank partners’ lending facilitated by our model comply with ECOA, reports from consumer advocacy groups and associated legislative and/or regulatory inquiries could create negative publicity and increase the risk of private litigation or government enforcement. On December 1, 2020, in connection with these inquiries, we entered into an agreement with the NAACP Legal Defense and Education Fund, or the LDF, and the Student Borrower Protection Center, or SBPC, in which we agreed to, among other things, participate in fair lending reviews of our AI model. See the section titled “</w:t>
      </w:r>
      <w:r>
        <w:rPr>
          <w:rFonts w:ascii="Arial" w:cs="Arial" w:eastAsia="Arial" w:hAnsi="Arial"/>
          <w:sz w:val="16"/>
          <w:szCs w:val="16"/>
          <w:i w:val="1"/>
          <w:iCs w:val="1"/>
          <w:color w:val="auto"/>
        </w:rPr>
        <w:t>Risk Factors—Risks Related to Our Business and Industry</w:t>
      </w:r>
      <w:r>
        <w:rPr>
          <w:rFonts w:ascii="Arial" w:cs="Arial" w:eastAsia="Arial" w:hAnsi="Arial"/>
          <w:sz w:val="16"/>
          <w:szCs w:val="16"/>
          <w:color w:val="auto"/>
        </w:rPr>
        <w:t>”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Credit Reporting Act</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federal Fair Credit Reporting Act, or FCRA, as amended by the Fair and Accurate Credit Transactions Act, and administered by the CFPB, promotes the accuracy, fairness, and privacy of information in the files of consumer reporting agencies. FCRA requires a permissible purpose to obtain a consumer credit report and requires that persons who report loan payment information to credit bureaus do so accurately and to resolve disputes regarding reported information timely. FCRA also imposes disclosure requirements on creditors who take adverse action on credit applications based on information contained in a credit report.</w:t>
      </w:r>
    </w:p>
    <w:p>
      <w:pPr>
        <w:spacing w:after="0" w:line="21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FCRA, certain information must be provided to applicants whose credit applications are not approved on the basis of a report obtained from a consumer reporting agency, promptly update any credit information reported to a credit reporting agency about a customer and have a process by which customers may inquire about credit information furnished by us to a consumer reporting agency. We and our bank partners have a permissible purpose for obtaining credit reports on potential borrowers, and we also obtain explicit consent from borrowers to obtain such reports. As part of our loan servicing activities, we accurately report loan payment and delinquency information to appropriate consumer reporting agencies. We provide an adverse action notice to a rejected applicants on behalf of each bank partner on our platform at the time the applicant is rejected that includes all the required disclosures. We also have processes in place to ensure that consumers are given “opt-out” opportunities, as required by the FCRA, regarding the sharing of their personal information. We have also implemented an identity theft prevention program, as required by FCRA and its implementing regulations.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Debt Collection Practices Act</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federal Fair Debt Collection Practices Act, or FDCPA, and Regulation F that implements FDCPA,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third-party debt collectors, debt collection laws of certain states impose similar requirements more broadly on creditors who collect their own debts. In addition, the CFPB prohibits unfair, deceptive or abusive acts or practices, or UDAAPs in debt collection, including first-party debt collection. We use our internal collection team and professional third-party debt collection agents to collect delinquent accounts. Any third-party debt collection agents we use are required to comply with the FDCPA and all other applicable laws in collecting delinquent accounts of borrowers. While our internal servicing team is not subject to the formal requirements of the FDCPA in most cases, we have established policies intended to substantially comply with the collection practice requirements under the FDCPA as a means of complying with more general UDAAP standards.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Security Laws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federal Gramm-Leach-Bliley Act, or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parties to whom they disclose such information and requires financial institutions to disclose certain privacy policies and practices with respect to information sharing with affiliated and nonaffiliated entities as well as to safeguard personal customer information. We collect and use a wide variety of information to help ensure the integrity of our services and to provide features and functionality to our customers. This aspect of our business, including the collection, use, and protection of the information we acquire from our own services as well as from third-party sources, is subject to laws and regulations in the United States. Accordingly, we publish our privacy policies and terms of service, which describe our practices concerning the use, transmission, and disclosure of information. We have a detailed privacy policy, that addresses the GLBA and is accessible from every page of our website. We work to maintain the security of consumers’ personal information securely, and we do not sell, rent or share such information with third parties for marketing purposes unless previously agreed to by the consumer. In addition, we take measures to safeguard the personal information of borrowers and investors and protect against unauthorized access to this information. We also are subject to other privacy and security laws and regulations that apply to certain personal information that we collect or otherwise process, such as the California Consumer Privacy Act, or CCPA. The CCPA, which went into effect in 2020, requires, among other things, that covered companies provide disclosures to California consumers and afford such consumers rights with respect to how covered companies process their personal information. Other states have enacted similar laws. As our business continues to expand, and as state and federal laws and regulations continue to be passed and their interpretations continue to evolve, additional laws and regulations may become relevant to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Dodd-Frank Wall Street Reform and Consumer Protection Act</w:t>
      </w: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July 2010, the Dodd-Frank Act was signed into law. The Dodd-Frank Act is extensive and significant legislation that includes consumer protection provisions. Among other things, the Dodd-Frank Act created the CFPB, which commenced operations in July 2011 and has significant authority to implement and enforce federal consumer financial laws, such as the TILA and the ECOA. The CFPB is authorized to prevent “unfair, deceptive or abusive acts or practices” through its regulatory, supervisory and enforcement authority. The CFPB also engages in consumer financial education, requests data and promotes the availability of financial services to underserved customers and communities. The CFPB has regulatory and enforcement powers over most providers of consumer financial products and services, including us. It also has supervisory and examination powers over certain providers of consumer financial products and services, including large banks, payday lenders, “larger participants” in certain financial services markets defined by CFPB regulation, and non-bank entities determined to present a risk to consumers after notice and an opportunity to respond.</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CFPB has imposed, and will continue to impose, restrictions on lending practices, including with respect to the terms of certain loans. We and our bank partners are subject to the CFPB’s enforcement authority. The CFPB may request reports concerning our organization, business conduct, markets and activities. In addition, the CFPB may, in connection with its supervisory authority, also conduct on-site examinations of our and our bank partners’ businesses on a periodic basis, subject to whether the applicable bank partner satisfies the assets threshold for CFPB supervision. If the CFPB were to conclude that our loan origination assistance or servicing activities, or any loans originated by our bank partners on our platform, violate applicable laws or regulations, we could be subject to a formal or informal inquiry, investigation and/or enforcement action. Formal enforcement actions are generally made public. We are not currently subject to any enforcement actions by the CFPB.</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more information regarding the CFPB and the CFPB rules to which we are subject or may become subject,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Trade Commission Act</w:t>
      </w:r>
    </w:p>
    <w:p>
      <w:pPr>
        <w:spacing w:after="0" w:line="23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Under Section 5 of the Federal Trade Commission Act, we and our bank partners are prohibited from engaging in unfair and deceptive acts and practices, or UDAP. For nonbank financial institutions, the FTC is the primary regulator enforcing this prohibition, and in recent years the FTC has been focused on practices of financial technology companies. Based on publicly available actions, the FTC’s primary focus has been with respect to financial technology company marketing and disclosure practices. We maintain policies and procedures that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marketing and loan application and servicing operations comply with UDAP standards. For more information regarding the FTC’s enforcement actions,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Electronic Fund Transfer Act and NACHA Rules</w:t>
      </w:r>
    </w:p>
    <w:p>
      <w:pPr>
        <w:spacing w:after="0" w:line="2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federal Electronic Fund Transfer Act, or EFTA, provides guidelines and restrictions on the electronic transfer of funds from consumers’ bank accounts. Under EFTA, and Regulation E that implements it, we must obtain consumer consents prior to receiving electronic transfer of funds from consumers’ bank accounts, and our bank partners may not condition an extension of credit on the borrower’s agreement to repay the loan through preauthorized (recurring) electronic fund transfers. In addition to compliance with federal laws, transfers performed by ACH electronic transfers are subject to detailed timing and notification rules and guidelines administered by the National Automated Clearinghouse Association, or NACHA. While NACHA guidelines are not laws, failure to comply with them may nevertheless result in commercial harm to our business. All transfers of funds related to our operations conform to the EFTA, its regulations and NACHA guidelines. As part of our servicing activities, we obtain necessary electronic authorization from borrowers and investors for such transfers in compliance with such rules. The loans offered on our platform by our bank partners must also comply with the requirement that a loan cannot be conditioned on the borrower’s agreement to repay the loan through recurring electronic fund transfers.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Electronic Signatures in Global and National Commerce Act</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federal Electronic Signatures in Global and National Commerce Act, or ESIGN, and similar state laws, particularly the Uniform Electronic Transactions Act, or UETA, authorize the creation of legally binding and enforceable agreements utilizing electronic records and signatures. ESIGN and UETA require businesses that want to use electronic records or signatures in consumer transactions and provide disclosures to consumers (otherwise required to be “in writing” in electronic form), to obtain the consumer’s consent to receive information electronically. When a consumer registers on our platform, we obtain his or her consent to transact business electronically, receive electronic disclosures and maintain electronic records in compliance with ESIGN and UETA requirements, and we maintain electronic signatures and records in a manner intended to support enforceability of relevant consumer agreements and consents.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Marketing Regulations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Telephone Consumer Protection Act, or TCPA, generally prohibits robocalls, including those calls made using an auto-dialer or prerecorded or artificial voice calls made to a wireless telephone without the prior express consent of the called party (or prior express written consent, if messages constitute telemarketing). In addition, the FTC Telemarketing Sales Rule implements the FTC’s Do-Not-Call Registry and imposes numerous other requirements and limitations in connection with telemarketing. Upstart’s policies address the requirements of the TCPA as well as FTC Telemarketing Sales Rule and other laws limiting telephone outreach. Furthermore, Upstart does not engage in certain activities covered by the TCPA, such as using an automated dialer.</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Controlling the Assault of Non-Solicited Pornography and Marketing, or CAN-SPAM, Act makes it unlawful to send certain electronic mail messages that contain false or deceptive information and provide other protections for email users. CAN-SPAM also requires the need to provide a functioning mechanism that allows the recipient to opt-out of receiving future commercial e-mail messages from the sender of such messages. Upstart’s email communications with all consumers are formulated to comply with the CAN-SPAM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Servicemembers Civil Relief Act</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Servicemembers Civil Relief Act, or SCRA, there are limits on interest rates chargeable to military personnel and civil judicial proceedings against them, and there are limitations on our ability to collect on a loan to servicemembers on active duty originated prior to the servicemember entering active duty status and, in certain cases, for a period of time thereafter. The SCRA allows military members to suspend or postpone certain civil obligations so that the military member can devote his or her full attention to military duties. The SCRA requires us to adjust the interest rate of borrowers who qualify for and request relief. If a borrower with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outstanding loan qualifies for SCRA protection the interest rate on their loan (including certain fees) will be reduced to 6% for the duration of the borrower’s active duty. During this period, any interest holder in the loan will not receive the difference between 6% and the loan’s original interest rate. As part of the services we provide, we require the borrower to send us a written request and a copy of the borrower’s mobilization orders to obtain an interest rate reduction on a loan due to military service. Other protections offered to servicemembers under the SCRA, including protections related to the collection of loans, do not require the servicemember to take any particular action, such as submitting military orders, to claim benefits.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Military Lending Act</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Under the Military Lending Act, certain members of the armed forces serving on active duty and their dependents must be identified and be provided with certain protections when becoming obligated on a consumer credit transaction. These protections include: a limit on the Military Annual Percentage Rate (an all-in cost-of-credit measure which is the same as the APR for loans facilitated on our platform) of 36%, certain required disclosures before origination, a prohibition on charging prepayment penalties and a prohibition on arbitration agreements and certain other loan agreement terms. As part of the services we provide, we ensure compliance with the requirements of the Military Lending Act.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Secrecy Act, USA PATRIOT Act, and U.S. Sanctions Laws</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the Bank Secrecy Act, the Uniting and Strengthening America by Providing Appropriate Tools Required to Intercept and Obstruct Terrorism Act, or USA PATRIOT ACT, and certain U.S. sanctions laws, our bank partners are required to maintain anti-money laundering, customer due diligence and record-keeping policies and procedures, which we perform on behalf of our bank partners, and to avoid doing business with certain sanctioned persons or entities or certain types of sanctioned activity in certain countries. We have implemented an AML program designed to prevent our platform from being used to facilitate money laundering, terrorist financing, and other illicit activity. Our AML program is designed to prevent our platform from being used to facilitate business in countries, or with persons or entities, included on designated lists promulgated by the U.S. Department of the Treasury’s Office of Foreign Assets Controls and equivalent foreign authorities. Our AML compliance program includes policies, procedures, reporting protocols, and internal controls, including the designation of an AML compliance officer, and is designed to address these legal and regulatory requirements and to assist in managing risk associated with money laundering and terrorist financing. With respect to new borrowers, we apply the customer identification and verification program rules and screen names against the list of specially designated nationals maintained by the U.S. Department of the Treasury and OFAC pursuant to the USA PATRIOT Act amendments to the Bank Secrecy Act and its implementing regulation.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Code</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Bankruptcy Code, we are regulated and in certain circumstances prohibited by the automatic stay, reorganization plan and discharge provisions, among others, in seeking enforcement of debts against parties who have filed for bankruptcy protection. Our policies are designed to support compliance with the Bankruptcy Code as we service and collect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Lending Regulations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Usury Limitations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respect to bank partners that are subject to Section 521 of the Depository Institution Deregulation and Monetary Control Act of 1980, or DIDMCA, (for FDIC-insured, state banks originating loans on our platform, which represent the vast majority of loans originated) or Section 85 of the National Bank Act, or NBA, (for national banks originating loans on our platform), federal case law interpreting such provisions (including interpretations of the NBA under Tiffany v. National Bank of Missouri and Marquette National Bank of Minneapolis v. First Omaha Service Corporation), and relevant regulatory guidance (including FDIC advisory opinion 92-47) permit certain depository institutions to “export” requirements regarding interest rates and certain fees considered to be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under federal law from the state or U.S. territory where the bank is located for all loans originated from such state, regardless of the usury limitations imposed by the state law of the borrower’s residence or other states with which the loan may have a geographic nexus, unless the state has chosen to opt out of the exportation regime. We believe, however, if a state or U.S. territory in which we operate opted out of rate exportation, judicial interpretations support the view that such opt outs would apply only to loans “made” in those states. We believe that the “opt-out” of any state would not affect the ability of our platform to benefit from the exportation of rates.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Annual Report on Form 10-K for more information about the risk if any loans were deemed subject to any state’s usury limits.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also been recent judicial decisions that could affect the collectability of loans sold by our bank partners after origination and the exposure of loan purchasers to potential fines or other penalties for usury violations. See the section titled “Risk Factors” for more information about recent case law developments.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Disclosure and Lending Practice Requirements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loans originated on our platform by our bank partners may be subject to state laws and regulations that impose requirements related to loan disclosures and terms, credit discrimination, credit reporting, debt collection, and unfair or deceptive business practices. Our ongoing compliance program seeks to comply with these requirements.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Licensing/Registration</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hold licenses, registrations, and similar filings so that we can conduct business, including providing referral services and origination assistance to lenders on our platform and servicing and collecting loans, in all states and the District of Columbia where our activities require such licensure, registration or filing. With respect to our securitization trusts, we have a national bank that serves as our owner trustee and is itself exempt from licensure. Although we are not aware of a state taking the position that the trust itself needs licensure, it is possible that a state or states could take such position in the future. Licenses granted by the regulatory agencies in various states are subject to periodic renewal and may be revoked or suspended for failure to comply with applicable state and federal laws and regulations. In addition, as the product offerings of Upstart or our bank partners change, as states enact new licensing requirements or amend existing licensing laws or regulations, or as states regulators or courts adjust their interpretations of licensing statutes and regulations, we may be required to obtain additional licenses. To that end, we have a small number of applications submitted and pending to obtain additional licenses, particularly with respect to obtaining additional authorization to engage in student loan servicing and collection activities. We are also typically required to complete an annual report (or its equivalent) to each state’s regulator. The statutes also typically subject us to the supervisory and examination authority of state regulators.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 licensing statutes impose a variety of requirements and restrictions, including:</w:t>
      </w:r>
    </w:p>
    <w:p>
      <w:pPr>
        <w:spacing w:after="0" w:line="104"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record-keeping requirements;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collection and servicing practices;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requirements governing electronic payments, transactions, signatures and disclosures;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examination requirements;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surety bond and minimum net worth requirements;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reporting requirements;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notification requirements for changes in principal officers, stock ownership or corporate control;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advertising and other loan solicitation activity, as well as restrictions on loan referral or similar practices.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Securities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Act</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Upstart and certain of our subsidiaries have relied on Section 4(a)(2) of the Securities Act for placement of asset-backed securities directly to investors or to investment bank initial purchasers, which have relied on Rule 144A and Regulation S exemptions from registration to place such asset-backed securities to qualified institutional buyers and non-U.S. investors,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Advisers Act</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Investment Advisers Act of 1940, as amended, or IAA, contains substantive legal requirements that regulate the manner in which “investment advisers” are permitted to conduct their business activities. We believe that our business consists of providing a platform for consumer lending for which investment adviser registration and regulation does not apply under applicable federal or state law, and do not believe that we or any of our subsidiaries are required to register as an investment adviser with either the SEC or any of the various states.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Regulations under the Exchange Act</w:t>
      </w:r>
    </w:p>
    <w:p>
      <w:pPr>
        <w:spacing w:after="0" w:line="23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Upstart being characterized as a broker-dealer, based on guidance published by the SEC and its staff.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 Risk Retention Rules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Regulation RR was jointly issued by a group of federal agencies under section 15G of the Exchange Act, as well as under the Federal Reserve Act, section 8 of the Federal Deposit Insurance Act, the Bank Holding Company Act of 1956, the Home Owners’ Loan Act of 1933; section 165 of the Dodd-Frank Wall Street Reform and Consumer Protection Act; and the International Banking Act of 1978. Its purpose is to require securitizers to retain an economic interest in a portion of the credit risk of assets that the securitizer transfers or sells to an issuing entity and that collateralize asset-backed securities that are sold to a third party. We believe we have structured our organization such that we are in compliance with Regulation RR and will continue to conduct our business in a manner that allows us to remain in compliance with this regulation.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review our policies and procedures to ensure compliance with applicable regulatory laws and regulations applicable to us and our bank partners. We have built our systems and processes with controls in place in order to permit our policies and procedures to be followed on a consistent basis. For example, to ensure proper controls are in place to maintain compliance with the consumer protection related laws and regulations, we have developed a compliance management system consistent with the regulatory expectations published by governmental agencies. While no compliance program can assure that there will not be violations, or alleged violations, of applicable laws, we believe that our compliance management system is reasonably designed and managed to minimize compliance-related risks.</w:t>
      </w:r>
    </w:p>
    <w:p>
      <w:pPr>
        <w:spacing w:after="0" w:line="21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Intellectual Property</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protect our intellectual property through a combination of patents, trademarks, domain names, copyrights and trade secrets, as well as through contractual provisions, our information security infrastructure and restrictions on access to or use of our proprietary technology. As of December 31, 2021, we had 2 patent applications in the United States related to our proprietary risk model. We may file additional patent applications or pursue additional patent protection in the future to the extent we believe it will be beneficial.</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trademark rights in our name, our logo and other brand indicia, and have trademark registrations for select marks in the United States. We will pursue additional trademark registrations to the extent we believe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will be beneficial. We also have registered domain names for websites that we use in our business. We may be subject to third party claims from time to time with respect to our intellectual property.</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Additionally, we rely upon unpatented trade secrets and confidential know-how and continuing technological innovation to develop and maintain our competitive position. We also enter into confidentiality and intellectual property rights agreements with our employees, consultants, contractors and business partners. Under such agreements, our employees, consultants and contractors are subject to invention assignment provisions designed to protect our proprietary information and ensure our ownership in intellectual property developed pursuant to such agreements.</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additional information about our intellectual property and associated risks, see the section titled “</w:t>
      </w:r>
      <w:r>
        <w:rPr>
          <w:rFonts w:ascii="Arial" w:cs="Arial" w:eastAsia="Arial" w:hAnsi="Arial"/>
          <w:sz w:val="18"/>
          <w:szCs w:val="18"/>
          <w:i w:val="1"/>
          <w:iCs w:val="1"/>
          <w:color w:val="auto"/>
        </w:rPr>
        <w:t>Risk Factors—Risks Related to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and Industry.</w:t>
      </w:r>
      <w:r>
        <w:rPr>
          <w:rFonts w:ascii="Arial" w:cs="Arial" w:eastAsia="Arial" w:hAnsi="Arial"/>
          <w:sz w:val="18"/>
          <w:szCs w:val="18"/>
          <w:color w:val="auto"/>
        </w:rPr>
        <w:t>”</w:t>
      </w:r>
    </w:p>
    <w:p>
      <w:pPr>
        <w:spacing w:after="0" w:line="200" w:lineRule="exact"/>
        <w:rPr>
          <w:sz w:val="20"/>
          <w:szCs w:val="20"/>
          <w:color w:val="auto"/>
        </w:rPr>
      </w:pPr>
    </w:p>
    <w:p>
      <w:pPr>
        <w:spacing w:after="0" w:line="2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Culture and Workforce</w:t>
      </w:r>
    </w:p>
    <w:p>
      <w:pPr>
        <w:spacing w:after="0" w:line="2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built a very special company culture at Upstart. Building the best place to do great work for top talent has been a priority for us from day one. It is not an accident that we have received best place to work awards in both our San Mateo and Columbus locations. Our employee engagement results are ten points higher than our technology peers and have continued to increase over the last two years in spite of the COVID-19 pandemic.</w:t>
      </w:r>
    </w:p>
    <w:p>
      <w:pPr>
        <w:spacing w:after="0" w:line="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brought together a remarkable diversity of thinkers to build Upstart. Our co-founders and the members of our management team come from diverse backgrounds with varying ethnicities, education backgrounds, genders and ages. This diversity of thought ensures we tackle problems from all angles and arrive at the best solution for all stakeholders.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Recruiting</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the focal point of our human capital strategy, we attract and recruit diverse, exceptionally talented, highly educated, experienced and motivated employees. We have an extremely rigorous recruiting and employee candidate screening process. For example, our machine learning team, responsible for the development and constant improvement of our AI models, is unlike any other that we are aware of in the consumer lending space. The majority of the members of this team have doctorate degrees in statistics, mathematics, computer science, economics or physics and many have extensive past experience in quantitative finance.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Inclusion</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Inclusion is not a standalone strategy at Upstart, it is central to our talent advantage. It underpins everything we do in the people programs we build from our compensation practices, to how we think about talent management and team development to the perks and benefits we invest in. Upstart employees are also passionate about building an environment that works for all. Our first employee resource group, “Superwomen,” was established in 2017 to make Upstart a leader for empowering women at work. As of the start of 2022, we have nine employee resource groups, including our African American Employee Network, Catalyst (for our LGBTQ2IA+ community), TAU (for Asian American Upstarters), and LatinX, and more than 20 clubs and special interest groups. Upstaters have hosted employee-led “lunch and learns” on topics ranging from startup financing, to how to fly a drone, to a salsa class taught by our chief compliance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First Approach</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the pandemic raged on and work from home became an expectable norm, we shifted our talent location strategy to one that focused on “digital” work first. Employees in eligible roles (which comprise about 90% of our full-time roles) can work from anywhere in the United States, including in one of our three offices in Austin, Texas; Columbus, Ohio; or San Mateo, California. However, to ensure we continue to build relationships and capture the magic of those innovative, in-person “aha” moments, we also provide travel and offsite budgets to ensure teams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come together as frequently as once a month. We believe the benefits of in-office work can be captured in just a few well-considered days together, so this flexible approach provides Upstart the best of all worlds: in person collaboration and team building as well as access to diverse talent all over the country.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providing competitive benefits like fully paid health insurance, life insurance and disability, flexible time off for our salaried employees, and fully paid parental leave, we invest in benefits that will provide financial flexibility and financial wellness for our employees - we see this as central to our brand as an employer, and to attracting the types of Upstarters that will be passionate about our mission to serve borrowers. For many years, we have provided our employees flexible “wellness” and “productivity” budgets allowing our diverse population of employees to spend in ways that will be most useful for them. In 2021, we introduced two new benefits to enhance financial wellness: a 401(k) match where we match 401(k) contributions up to a set dollar amount, ensuring equal access to these benefits dollars regardless of salary level, and access to a financial planning and money management platform, which includes unlimited access to financial planners and tax support. We believe that these employee benefits, combined with competitive salaries and an equity program that grants restricted stock units to all full-time employees, have ensured that we remain a top employer in our industry.</w:t>
      </w:r>
    </w:p>
    <w:p>
      <w:pPr>
        <w:spacing w:after="0" w:line="22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of December 31, 2021, we had 1,497 full-time employees. We also engage temporary employees, contractors and consultants as needed to support our operations. None of our employees are represented by a labor union or subject to a collective bargaining agreement. We have not experienced any work stoppages, and we consider our relations with our employees to be good.</w:t>
      </w:r>
    </w:p>
    <w:p>
      <w:pPr>
        <w:spacing w:after="0" w:line="20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Corporate Information</w:t>
      </w:r>
    </w:p>
    <w:p>
      <w:pPr>
        <w:spacing w:after="0" w:line="24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Upstart Network, Inc. was incorporated in Delaware in 2012. Pursuant to a restructuring, Upstart Holdings, Inc. was incorporated in December 2013 and became the holding company of Upstart Network, Inc. Our principal executive offices are located at 2950 S. Delaware Street, Suite 300, San Mateo, California 94403, and our telephone number is (650) 204-1000. Our website address is www.upstart.com. The content of our websites and information that can be accessed through our websites is not incorporated by reference into this Annual Report on Form 10-K or in any other report or document we file with the SEC, and any references to our websites are intended to be inactive textual references only.</w:t>
      </w:r>
    </w:p>
    <w:p>
      <w:pPr>
        <w:spacing w:after="0" w:line="19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website is located at www.upstart.com and our investor relations website at ir.upstart.com. Copies of our Annual Report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Annual Report on Form 10-K or in any other report or document we file with the SEC, and any references to our websites are intended to be inactive textual references only.</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announce material information to the public about us, our products and services and other matters through a variety of means, including filings with the SEC, press releases, public conference calls, webcasts, the investor relations section of our website (ir.upstart.com), in order to achieve broad, non-exclusionary distribution of information to the public and for complying with our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RISK FACTORS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Investing in our common stock involves a high degree of risk. The risks and uncertainties described below should be carefully considered,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material risks that may affect our business, financial condition or results of operations include, but are not limited to, those relating to the following:</w:t>
      </w:r>
    </w:p>
    <w:p>
      <w:pPr>
        <w:spacing w:after="0" w:line="62" w:lineRule="exact"/>
        <w:rPr>
          <w:sz w:val="20"/>
          <w:szCs w:val="20"/>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a rapidly growing company with a relatively limited operating history, which may result in increased risks, uncertainties, expenses and difficulties, and makes it difficult to evaluate our future prospects.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revenue growth rate and financial performance in recent periods may not be indicative of future performance and such growth may slow over time.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effectively manage our growth, our business, financial condition and results of operations could be adversely affected.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incurred net losses in the past, and we may not be able to maintain or increase our profitability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results are likely to fluctuate and as a result may adversely affect the trading price of our common stock.</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COVID-19 pandemic has harmed our business, financial condition and results of operations and the duration and extent to which it will impact our future results of operations and overall financial performance remains uncertain.</w:t>
      </w:r>
    </w:p>
    <w:p>
      <w:pPr>
        <w:spacing w:after="0" w:line="62" w:lineRule="exact"/>
        <w:rPr>
          <w:rFonts w:ascii="Arial" w:cs="Arial" w:eastAsia="Arial" w:hAnsi="Arial"/>
          <w:sz w:val="18"/>
          <w:szCs w:val="18"/>
          <w:b w:val="1"/>
          <w:bCs w:val="1"/>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Cross River Bank and one other bank partner account for a substantial portion of the total number of loans facilitated by our platform and our revenue.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sales and onboarding process of new bank partners could take longer than expected, leading to fluctuations or variability in expected revenues and results of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may be adversely affected by economic conditions and other factors that we cannot control.</w:t>
      </w:r>
    </w:p>
    <w:p>
      <w:pPr>
        <w:spacing w:after="0" w:line="11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evaluate and potentially consummate acquisitions or investments in complementary businesses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maintain a diverse and robust loan funding program, our growth prospects, business, financial condition and results of operations could be adversely affected.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 rapidly growing company with a relatively limited operating history, which may result in increased risks, uncertainties, expenses and difficulties, and makes it difficult to evaluate our future prospects.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were founded in 2012 and have experienced rapid growth in recent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 the effectiveness and predictiveness of our AI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and increase the volume of loans facilitated by our AI lending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new and maintain existing bank partnerships;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maintain a diversified loan funding strategy, including bank partnerships and whole loan sales and securitization transactions that enhance loan liquidity for the bank partners that use our loan funding capabilities;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fund a sufficient quantity of our borrower loan demand with low cost bank funding to help keep interest rates offered to borrowers competitive;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competitive interest rates offered to borrowers on our platform, while enabling our bank partners to achieve an adequate return over their cost of funds, whether through their own balance sheets or through our loan funding programs;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build our brand and protect our reputation from negative publicity;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the effectiveness of our marketing strategies, including our direct consumer marketing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expand the number of potential borrowers;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adjust our proprietary AI models, products and services in a timely manner in response to changing macroeconomic conditions and fluctuations in the credit market;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comply with and successfully adapt to complex and evolving regulatory environments;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 against increasingly sophisticated fraudulent borrowing and online theft;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compete with companies that are currently in, or may in the future enter, the business of providing online lending services to financial institutions or consumer financial services to borrowers;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new markets and introduce new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effectively secure and maintain the confidentiality of the information received, accessed, stored, provided and used across our systems;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obtain and maintain corporate funding and liquidity to support continued growth and for general corporate purposes;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realize the anticipated benefits of our acquisitions of or investments in complementary businesses and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integrate and retain qualified employees;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manage and expand the capabilities of our operations teams, outsourcing relationships and other business operations.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are not able to timely and effectively address these risks and difficulties as well as those described elsewhere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our business and results of operations may be harmed.</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revenue growth rate and financial performance in recent years may not be indicative of future performance and such growth may slow over time.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grown rapidly over the last several years, and our recent revenue growth rate and financial performance may not be indicative of our future performance. In 2019, 2020, and 2021, our revenue was $164.2 million, $233.4 million, and $848.6 million, respectively, representing a growth rate of 42% from 2019 to 2020 and a 264% growth rate from 2020 to 2021. Our revenue for any previous quarterly or annual period should not be relied upon as any indication of our revenue or revenue growth in future periods. As we grow our business, our revenue growth rates may slow, or our revenue may decline, in future periods for a number of reasons, which may include slowing demand for our platform offerings and services, increasing competition, a decrease in the growth of our overall credit market, increasing regulatory costs and challenges and our failure to capitalize on growth opportunities. Further, we believe our growth over the last several years has been driven in large part by our AI models and our continued improvements to our AI models. Future incremental improvements to our AI models may not lead to the same level of growth as in past periods. In addition, we believe our growth over the last several years has been driven in part by our ability to rapidly streamline and automate the loan application and origination process on our platform. The Percentage of Loans Fully Automated on our platform was 66% in 2019 and increased to 69% in 2021. We expect the Percentage of Loans Fully Automated to level off and remain relatively stable in the long term; however the expansion of our loan offerings beyond unsecured personal loans, including auto loans, may cause fluctuations of such percentage from period to period depending on the loan offering mix. As a result of these factors, our revenue growth rates may slow, and our financial performance may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effectively manage our growth, our business, financial condition and results of operations could be adversely affected.</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Over the last several years, we have experienced rapid growth in our business and the Transaction Volume, Number of Loans on our AI lending platform, and we expect to continue to experience growth in the future. The Transaction Volume, Number of Loans on our platform increased from 215,122 in 2019 to 1,314,591 in 2021, representing a compound annual growth rate of 147%. This rapid growth has placed, and may continue to place, significant demands on our management, processes and operational, technological and financial resources. Our ability to manage our growth effectively and to integrate new employees and technologies into our existing business will require us to continue to retain, attract, train, motivate and manage employees and expand our operational, technological and financial infrastructure. These challenges may be heightened as we transition to a Digital First workforce. From time to time, we rely on temporary independent contractor programs to scale our operations team. Failure to effectively implement and manage such programs could result in misclassification or other employment related claims or inquiries by governmental agencies. Continued growth could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net losses in the past, and we may not be able to maintain or increase our profitability in the future.</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year ended December 31, 2019, we experienced net loss of $0.5 million. For the year ended December 31, 2020 and 2021, we experienced net income of $6.0 million and $135.4 million, respectively. We intend to continue to expend significant funds to continue to develop and improve our proprietary AI models, improve our marketing efforts to 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may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could prevent us from maintaining or improving profitability on a consistent basis. If we are unable to successfully address these risks and challenges as we encounter them, our business, financial condition and results of operations could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results are likely to fluctuate and as a result may adversely affect the trading price of our common stock.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quarterly results of operations, including the levels of our revenue, net income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improve the effectiveness and predictiveness of our AI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new bank partners and investors of our loan funding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relationships with existing bank partners and investors of our loan funding programs;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or increase loan volumes, and improve loan mix and the channels through which the loans, bank partners and loan funding are sourced;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effective relationships with loan aggregators from which prospective borrowers access our website;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including economic slowdowns, recessions and tightening of credit markets, including due to the ongoing economic impact of the COVID-19 pandemic;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improvements to our AI models that negatively impact transaction volume, such as lower approval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identify and prevent fraudulent activity and the impact of fraud prevention measures;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success of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direct marketing and other marketing channels;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maintaining and expanding our business, operations and infrastructure, including acquiring new and maintaining existing bank partners and investors and attracting borrowers to our platform;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cost of borrowing money and access to loan funding sources;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extent of loans facilitated on our platform that are subject to loan modifications and/or temporary assistance due to disasters or emergencies;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extent of prepayments of loans facilitated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fair value of assets and liabilities on our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involvement in litigation or regulatory enforcement efforts (or the threat thereof) or those that impact our industry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length of the onboarding process related to acquisitions of new bank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 or the development of competitive products by larger well-funded incumbents.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While our growth and recent government stimulus programs provided to individuals in response to the COVID-19 pandemic have obscured this seasonality in our overall financial results, we expect our results of operations to continue to be affected by such seasonality in the future. Such seasonality and other fluctuations in our quarterly results may also adversely affect and, increase the volatility of, the trading price of our common stock.</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attract potential borrowers to our platform and increase the number of Upstart-powered loans will depend in large part on our ability to effectively evaluate a borrower’s creditworthiness and likelihood of default and, based on that evaluation, offer competitively priced loans and higher approval rates. Further, our overall operating efficiency and margins will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and bank partners to our platform, increase the number of Upstart-powered loans or maintain or increase the average size of loans facilitated on our platform.</w:t>
      </w:r>
    </w:p>
    <w:p>
      <w:pPr>
        <w:spacing w:after="0" w:line="22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errors or inaccuracies in our AI models could result in any person exposed to the credit risk of Upstart-powered loans, whether it be us, our bank partners or investors in our loan funding programs, experiencing higher than expected losses or lower than desired returns, which could impair our ability to retain existing or attract new bank partners and investors to participate in our loan funding programs, reduce the number, or limit the types, of loans bank partners and investors are willing to fund, and limit our ability to increase commitments under our warehouse and other debt facilities. Any of these circumstances could reduce the number of Upstart-powered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harm our ability to maintain a diverse and robust loan funding program and could adversely affect our business, financial condition and results of operations.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Continuing to improve the accuracy of our AI models is central to our business strategy. However, such improvements could negatively impact transaction volume, such as by lowering approval rates. For example, an upgrade to our AI models in the fourth quarter of 2018 related to prepayment predictions led to a temporary decrease in the total number of loans approved. Additionally, in the third quarter of 2021, we made changes to our AI models in response to an increase in fraudulent activity on our platform. These changes, while effective at preventing fraudulent loans from being transacted, have resulted, and may in the future result in, a decrease in our Conversion Rate. While we believe that continuing to improve the accuracy of our AI models is key to our long-term success, those improvements could, from time to time, lead us to reevaluate the risks associated with certain borrowers, which could in turn cause us to lower approval rates or increase interest rates for any borrowers identified as a higher risk, either of which could negatively impact our growth and results of operations in the short term.</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COVID-19 pandemic has harmed, and could continue to harm, our business, financial condition and results of operations and the duration and extent to which it will impact our future results of operations overall financial performance remains uncertain.</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The global macroeconomic effects of the COVID-19 pandemic and related impacts on our business may persist for an indefinite period. In particular, the impact of the COVID-19 pandemic on the finances of borrowers on our platform has been profound, as many have been, and despite widespread vaccination efforts in the United States may continue to be, impacted by unemployment, reduced earnings and/or elevated economic disruption and insecurity. For example, the Delta and Omicron variants of COVID-19, which appear to be the most transmissible variants to date, have spread in the United States. The impact of the Delta and Omicron variants, or future variants, cannot be predicted at this time, and could depend on numerous factors, including vaccination rates among the population, the effectiveness of COVID-19 vaccines against such variant and the response by governmental bodies and regulators.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continuing crisis and the magnitude and duration of the resulting fluctuations in business activity cannot currently be estimated with any degree of certainty and has had several effects on our business and results of operations, including, among other things:</w:t>
      </w:r>
    </w:p>
    <w:p>
      <w:pPr>
        <w:spacing w:after="0" w:line="19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temporary decreases in origination volumes on our platform;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increased losses for new and existing Upstart-powered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temporary reduction in the availability of loan funding and liquidity from institutional investors and the capital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restricted sales operations and marketing efforts, and a reduction in the effectiveness of such efforts in some cases.</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continue to monitor the ongoing impact of the COVID-19 pandemic to assess possible implications to our business and to take appropriate actions in an effort to mitigate the adverse consequences of the COVID-19 pandemic. However, there can be no assurances that our initiatives we take will be sufficient or successful.</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took precautionary measures intended to reduce the risk of the virus spreading to our employees, bank partners, vendors, and the communities in which we operate, including temporarily closing our offices and virtualizing, postponing, or canceling partner bank, employee, or industry events, which may negatively impact our business. Furthermore, as a result of the COVID-19 pandemic, we required all employees who were able to do so to work remotely through the end of 2021 and have since continued to allow most employees the flexibility to work remotely going forward under our Digital First work model. It is possible that widespread remote work arrangements may have a negative impact on our business. See the risk factor titled “—We have a limited history of operating with a Digital First workforce and the long-term impact on our business, financial condition and results of operations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Further, in response to the market conditions caused by the COVID-19 pandemic, we made certain operational changes, including temporary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extent to which the COVID-19 pandemic continues to impact our business and results of operations will also depend on future developments that are highly uncertain and cannot be predicted, including the emergence of new COVID-19 variants, future spikes of COVID-19 infections resulting in additional preventive measures to contain or mitigate the spread of the virus, the impact on businesses and financial and capital markets, the extent and effectiveness of containment actions, the administration and efficacy of vaccination programs with respect to the prevalent COVID-19 variants or variant strains that will emerge in the future and the impact of further shelter-in-place or other government restrictions that may be imposed. For example, the termination of government stimulus measures has expected to reduce the ability of individual borrowers to remain current on their obligations and therefore led to increased delinquencies, defaults, customer bankruptcies and charge-offs and decreasing recoveries for loans facilitated through the Upstart platform, all of which could have an adverse effect on our bank partners, institutional investors, and our business. An extended period of economic disruption as a result of the COVID-19 pandemic could have a material negative impact on our business, results of operations, and financial condition, though the full extent and duration is uncertain. To the extent the COVID-19 pandemic continues to adversely affect our business and financial results, it is likely to also have the effect of heightening many of the other risks described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year ended December 31, 2021, 94% of our revenue was generated from platform, referral and servicing fees that we receive from our bank partners. If any of our bank partners were to suspend, limit or cease their operations or otherwise terminate their relationships with us, the number of loans facilitated through our platform could decrease and our revenue and revenue growth rates could be adversely affected. Our sales and onboarding process with new bank partners can be long and unpredictable. If we are unable to timely onboard our bank partners, or if our bank partners are not willing to work with us to complete a timely onboarding process, our results of operations could be adversely affected.</w:t>
      </w:r>
    </w:p>
    <w:p>
      <w:pPr>
        <w:spacing w:after="0" w:line="20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entered into separate agreements with each of our bank partners. Our agreements with our bank partners are nonexclusive, generally have 12-month terms that automatically renew, subject to certain early termination provisions, and may contain minimum fee amounts. Our bank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If the bank partners listed above or any of our other bank partners were to stop working with us, suspend, limit or cease their operations or otherwise terminate their relationship with us, the number of loans facilitated through our platform could decrease and our revenue and revenue growth rates could be adversely affected. We could in the future have disagreements or disputes with any of our bank partners, which could negatively impact or threaten our relationship with them. In our agreements with bank partners, we make certain representations and warranties and covenants concerning our compliance with specific policies of a bank partner, our compliance with certain procedures and guidelines related to laws and regulations applicable to our bank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bank partners would be adversely affected. Additionally, our bank partners may engage in mergers, acquisitions or consolidations with each other, our competitors or with third parties, any of which could be disruptive to our existing and prospective relationships with our bank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our bank partners may retain loans for their own customer base and balance sheet. In general, banks can fund loans at lower rates due to the lower cost of funds available to them from their deposit base than is otherwise available in the broader institutional investment markets. Accordingly, loans retained by the originating bank generally carry lower interest rates for borrowers, which leads to better conversion rates and faster growth for our platform. Separately, as our number of bank partners grows, such banks will increasingly source new prospective borrowers from their own existing customer base and provide an incremental channel to attract borrowers. If we are unable to attract new bank partners or if we are unable to maintain or expand the number of loans held on their balance sheets, our financial performance would suffer.</w:t>
      </w:r>
    </w:p>
    <w:p>
      <w:pPr>
        <w:spacing w:after="0" w:line="20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Cross River Bank and one other bank partner account for a substantial portion of the total number of loans facilitated by our platform and our revenue.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Cross River Bank, or CRB, a New Jersey-chartered community bank, originates a substantial majority of the loans on our platform. In the year ended December 31, 2020 and 2021, CRB originated 67% and 55%, respectively, of the Transaction Volume, Number of Loans. CRB also accounts for a large portion of our revenues. In the year ended December 31, 2020 and 2021, fees received from CRB accounted for 63% and 56%, respectively, of our total revenue. CRB funds a certain portion of these originated loans by retaining them on its own balance sheet, and sells the remainder of the loans to us, which we in turn sell to institutional investors and to our warehouse trust special purpose entities. Our most recent commercial arrangement with CRB began on January 1, 2019 and has a term of four years with an automatic renewal provision for an additional two years following the initial four 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fund and retain on its balance sheet or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judgment by a governmental entity, a material adverse effect, or a change of control whereby such party involved in such change of control provides 90 days’ notice to the other and payment of a termination fee of $450,000. If we are unable to continue to increase the number of other bank partners on our platform or if CRB or one of our other bank partners were to suspend, limit or cease their operations or otherwise terminate their relationship with us, our business, financial condition and results of operations would be adversely affected.</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year ended December 31, 2020 and 2021, one of our other bank partners originated 24% and 36% of the Transaction Volume, Number of Loans, respectively. In the year ended December 31, 2020 and 2021, the fees received from this bank partner accounted for 18% and 27% of our total revenue, respectively.</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 sales and onboarding process of new bank partners could take longer than expected, leading to fluctuations or variability in expected revenues and results of operations.</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sales and onboarding process with new bank partners can be long and generally takes approximately three to 12 months. As a result, revenues and results of operations may vary significantly from period to period. Prospective bank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banks undertake an extensive diligence review of our platform, compliance and servicing activities before choosing to partner with us. Further, the implementation of our AI lending model often involves shifts by the bank partner to a new software platform or changes in their operational procedures, which may involve significant time and expense to implement. Delays in onboarding new bank partners can also arise while prospective bank partners complete their internal procedures to approve expenditures and test and accept our applications. Consequently, we face difficulty predicting the quarter in which new bank partners will begin using our platform and the volume of fees we will receive, which can lead to fluctuations in our revenues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adversely affected by economic conditions and other factors that we cannot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Uncertainty and negative trends in general economic conditions, including significant tightening of credit markets, historically have created a difficult operating environment for our industry. Many factors, including factors that are beyond our control, may impact our results of operations or financial condition and our overall success by affecting a borrower’s willingness to incur loan obligations or willingness or capacity to make payments on their loans. These factors include interest rates, unemployment levels, conditions in the housing market, immigration policies, gas prices, energy costs, government shutdowns, trade wars and delays in tax refunds, as well as events such as natural disasters, acts of war, terrorism, catastrophes and pandemics.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example, in response to the initial outbreak of the COVID-19 pandemic, bank partners tightened their credit requirements or paused originations, and investors in our loan funding programs temporarily suspended making investments in Upstart-powered loans. Furthermore, nearly all personal loans presently facilitated through our platform are issued with fixed interest rates. If interest rates rise, potential borrowers could seek to defer loans as they wait for interest rates to stabilize. As a result of these circumstances, bank partners, investors and borrowers may be discouraged from engaging with our platform and as a result, reduce the volume of Upstart-powered loans. Additionally, increased interest rates may adversely impact the spending levels of individual borrowers and their ability and willingness to borrow money. Higher interest rates often lead to higher payment obligations, which may reduce the ability of individual borrowers to remain current on their obligations and therefore, lead to increased delinquencies, defaults, customer bankruptcies and charge-offs, and decreasing recoveries, all of which could have a material adverse effect on our business. Further, the federal government has reduced stimulus measures taken in response to the COVID-19 pandemic, which has led to, and may continue to lead to, increased delinquency rates and a decline in the performance of loans facilitated by our platform.</w:t>
      </w: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Many new consumers on the Upstart platform have limited or no credit history. Accordingly, such borrowers have historically been, and may in the future become, disproportionately affected by adverse macroeconomic conditions, such as the disruption and uncertainty caused by the COVID-19 pandemic. In addition, major medical expenses, divorce, death or other issues that affect borrowers could affect a borrower’s willingness or ability to make payments on their loans. If borrowers default on loans facilitated on our platform, the cost to service these loans may also increase without a corresponding increase in our servicing fees or other related fees and the value of the loans held on our balance sheet could decline. Higher default rates by these borrowers may lead to lower demand by our bank partners and institutional investors to fund loans facilitated by our platform, which would adversely affect our business, financial condition and results of operations.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periods of economic slowdown or recession, our current and potential investors in our loan funding programs may reduce the number of loans or interests in loans they purchase or demand terms that are less favorable to us to compensate for any increased risks. A reduction in the volume of the loans and loan financing products we sell would negatively impact our ability to maintain or increase the number of loans facilitated by our platform. Any sustained decline in demand for loans or loan financing products, or any increase in delinquencies, defaults or foreclosures that result from economic downturns, may harm our ability to maintain a robust loan funding program, which would adversely affect our business, financial condition and results of operations.</w:t>
      </w:r>
    </w:p>
    <w:p>
      <w:pPr>
        <w:spacing w:after="0" w:line="2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example, the onset of the COVID-19 pandemic and other related adverse economic events led to a significant increase in unemployment, comparable, and at times surpassing, the unemployment rates during the peak of the financial crisis in 2008. There can be no assurance that levels of unemployment or underemployment will return to or remain at pre-pandemic levels in the near term. An increase in the unemployment rate or other adverse economic effects caused by the COVID-19 pandemic could increase the delinquency rate of borrowers of Upstart-powered loans or increase the rate of borrowers declaring bankruptcy, any of which could adversely affect the attractiveness of Upstart-powered loans to the investors in our loan funding programs. If we are unable to improve our AI platform to account for events like the COVID-19 pandemic and the resulting rise in unemployment, or if our AI platform is unable to more successfully predict the creditworthiness of potential borrowers compared to other lenders, then our business, financial condition and results of operations could be adversely affected.</w:t>
      </w:r>
    </w:p>
    <w:p>
      <w:pPr>
        <w:spacing w:after="0" w:line="19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Furthermore, the COVID-19 pandemic caused some borrowers on our platform to request a temporary extension or modification of the payment schedules of their loans under the temporary relief or loan modification programs, or hardship programs, offered by our bank partners and investors in our loan funding programs.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future, our bank partners and investors may offer additional hardship programs. If a large number of borrowers seek to participate in such hardship programs, the investment returns of our bank partners and investors in our loan funding programs could decline. Further, if the rate of borrowers that participate in such hardship programs is greater than those experienced by our competitors, then our bank partners and the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there is an economic downturn that affects our current and prospective borrowers or our bank partners and institutional investors, or if we are unable to address and mitigate the risks associated with any of the foregoing, our business, financial condition and results of operations could be adversely affected.</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performance of loans facilitated by our platform is significantly dependent on the effectiveness of our proprietary AI models used to evaluate a borrower’s credit profile and likelihood of default. While our AI models have been refined and updated to account for the COVID-19 pandemic, the bulk of the data gathered and the development of our AI models have largely occurred during a period of sustained economic growth, and our AI models have not been extensively tested during a down-cycle economy or recession and have not been tested at all during a down-cycle economy or recession without significant levels of government assistance. There is no assurance that our AI models can continue to accurately predict loan performance under adverse economic conditions. If our AI models are unable to accurately reflect the credit risk of loans under such economic conditions, our bank partners, investors in our loan funding programs and we may experience greater than expected losses on such loans, which would harm our reputation and erode the trust we have built with our bank partners and investors in our loan funding programs. For example, in response to the COVID-19 pandemic, the federal government quickly implemented stimulus measures. The subsequent discontinuation of those stimulus measures has increased, and may continue to increase, the delinquency rate of borrowers of Upstart-powered loans. In addition, the fair value of the loans on our balance sheet may decline in down-cycle economic conditions. Any of these factors could adversely affect our business, financial condition and results of operations.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legal and regulatory environment surrounding our AI lending platform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Since we launched our AI lending platform, we have been proactively working with the federal government and regulatory bodies to ensure that our AI lending platform and other services are in compliance with applicable laws and regulations. For example, after significant collaboration with the Consumer Financial Protection Bureau, or CFPB, the CFPB issued Upstart the first no-action letter in 2017 and, upon its expiration, we received a second no-action letter regarding the use of our Al model to underwrite and price unsecured closed-end loans. The current no-action letter expires on November 30, 2023, unless terminated by the CFPB earlier for one of the bases provided for by the no-action letter, and we can provide no assurance that the CFPB will continue to permit us to operate under its current no-action letter policies beyond that date, or will not change its position regarding supervisory or enforcement action against us in the future. Further, this no-action letter does not extend to credit products offered on Upstart’s platform other than unsecured closed-end loans. We plan to continue working and collaborating closely with regulators to provide visibility into AI and related emerging technologies and the potential benefits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platform, any of which could adversely affect our business, financial condition and results of operations.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Recent financial, political and other events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the Equal Credit Opportunity Act, or ECOA. Further, the recently appointed CFPB Director indicated in remarks in October 2021 that safeguarding against algorithmic bias is a priority for the CFPB under the new leadership. 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Any such investigations or inquiries, whether or not accurate or warranted, or whether concerning us or one of our competitors, could negatively affect our brand and reputation and the overall market acceptance of and trust in our AI lending platform. Any of the foregoing could harm our business, financial condition and results of operations.</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we expanded the type of loan products offered on our platform to include auto loans in 2020, made significant investments in Upstart Auto Retail in 2021 and continue to invest in developing new loan products, the vast majority of loan originations currently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bank partners may in the future seek partnerships with competitors that are able to offer them a broader array of credit products. Over time, in order to preserve and expand our relationships with our existing bank partners, and enter into new bank partnerships, it may become 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obligations under such secured indebtedness before repaying their Upstart-powered personal loans. In addition, borrowers may not view Upstart-powered loans, which were originated through an online lending platform, as having the same significance as other credit obligations arising under more traditional circumstances, such as loans from banks or other commercial financial institutions. Any of the foregoing could lead to higher default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decreased demand by our bank partners and institutional investors to fund loans facilitated by our platform, which would adversely affect our business, financial condition and results of operations.</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2021, we continued to work on our auto loan product and made significant investments in Upstart Auto Retail. We are continuing to invest in developing new loan products and service offerings, which may include small business loans, small dollar loans, mortgages and beyond. New initiatives are inherently risky, as each involves unproven business strategies, new regulatory requirements and new financial products and services with which we, and in some cases our bank partners, have limited or no prior development or operating experience.</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If the profile of loan applicants using any new products and services is different from that of those currently served by our existing loan products, our AI models may not be able to accurately evaluate the credit risk of such borrowers, and our bank partners and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reputation and brand are important to our success, and if we are unable to continue developing our reputation and brand, our ability to retain existing and attract new bank partners, our ability to attract borrowers to our platform and our ability to maintain and improve our relationship with regulators of our industry could be adversely affected.</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maintaining a strong brand and trustworthy reputation is critical to our success and our ability to attract borrowers to our platform, attract new bank partners and maintain good relations with regulators. Factors that affect our brand and reputation include: perceptions of artificial intelligence, our industry and our company, including the quality and reliability of our AI lending platform; the accuracy of our AI models; perceptions regarding the application of artificial intelligence to consumer lending specifically;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high-rate, small-dollar lending programs. Bank regulators have even required banks to exit third-party programs that the regulators determined involved unsafe and unsound practices. The payday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high-rate,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bank partners to reduce their origination volumes or terminate their arrangements with us, impede our ability to attract new bank partners or delay the onboarding of bank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 supportive of our AI lending platform if there is enough negative perception surrounding such practices. We may also become subject to lawsuits, including class action lawsuits, or other challenges such as government enforcement or arbitration, against our bank partners or us for loans originated by our bank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Artificial intelligence and related technologies are subject to public debate and heightened regulatory scrutiny. For example, the recently appointed CFPB Director indicated in remarks in October 2021 that safeguarding against algorithmic bias is a priority for the CFPB under the new leadership. Any negative publicity or negative public perception of artificial intelligence could negatively impact demand for our AI lending platform, hinder our ability to attract new bank partners or slow the rate at which banks adopt our AI lending platform. From time to time, certain advocacy groups have made claims that unlawful or unethical discriminatory effects may result from the use of AI technology by various companies, including ours. Such claims, whether or not accurate, and whether or not concerning us or our AI lending platform, may harm our ability to attract prospective borrowers to our platform, retain existing and attract new bank partners and achieve regulatory acceptance of our business.</w:t>
      </w:r>
    </w:p>
    <w:p>
      <w:pPr>
        <w:spacing w:after="0" w:line="2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ECOA. On December 1, 2020, in connection with these inquiries, we entered into an agreement with the NAACP Legal Defense and Education Fund, or the LDF, and the Student Borrower Protection Center, or the SBPC, in which we agree to participate in fair lending reviews of our AI model, including, but not limited to, its use of educational variables. The agreement provides for our engagement of a neutral third-party firm to perform periodic fair lending assessments over a two year period. Under the agreement, we have agreed to cooperate with, and provide data to, the third-party firm to conduct fair lending testing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underwriting model, and we, the LDF and the SBPC will provide input to the third-party firm on, among other things, the testing methodologies to be employed. The fair lending testing will be designed to assess lending outcomes from our underwriting model to determine if the model causes or results in a disparate impact on any protected class, and if so, whether there are less discriminatory alternative practices that maintain the model’s predictiveness. We have also agreed to implement the auditor’s recommendations, for modifications to our AI model that may promote more equitable outcomes while maintaining the model’s predictiveness and meet any other legitimate business needs of Upstart. The third-party firm also prepares and makes public periodic reports that summarize any general findings, recommendations and best practices, as well as any aspects of our AI model that raise particular fair lending concerns or implicate novel insights on educational equity that serve the public interest. While we have input on these reports, and the agreement provides that the third-party firm and the parties to the agreement will collaborate to reach agreement on any recommendations, we could become involved in disagreements with the third-party firm, the LDF or the SBPC regarding the information we must provide, the contents of the reports or particular recommendations that may be made, the manner in which they should be implemented, if at all, and whether they would maintain the predictiveness of our AI model. It is possible, however, that changes implemented in our AI model could negatively impact its predictiveness. In addition, if we do not implement any recommendation, the LDF and/or the SBPC could terminate the agreement with us. Although we believe that this agreement will support our objective of providing visibility into AI and related emerging technologies and the potential benefits such technologies can have for the consumer lending industry, if reports under the agreement were to raise significant fair lending concerns, raise questions about the use of AI or otherwise be viewed negatively for any reason, or if the third-party firm terminates its agreement with us and/or the agreement with the LDF and/or the SBPC is terminated for any reason, our brand and reputation and the overall market acceptance of, and trust in, our AI lending platform could suffer, and we could be subject to increased regulatory and litigation risk. In addition, the publication of information arising from our agreement with the LDF or the SBPC could lead to additional regulatory scrutiny for our bank partners.</w:t>
      </w:r>
    </w:p>
    <w:p>
      <w:pPr>
        <w:spacing w:after="0" w:line="2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Harm to our reputation can also arise from many other sources, including failure by us or our bank partners to meet minimum standards of service and quality,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21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Misconduct and errors by our employees, former employees, vendors, or service providers could harm our reputation and subject us to significant legal liability.</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operate in an industry in which integrity and the confidence of our borrowers and bank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If any of our employees, vendors or service providers engage in illegal, improper, or suspicious activity or other misconduct, we could suffer serious harm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reputation, financial condition, relationships with bank partners and borrowers, and our ability to attract new bank partners or borrowers. We could also be perceived to have facilitated or participated in the illegal misappropriation of funds, documents, or data, or the failure to follow protocol, and therefore be subject to civil or criminal liability. Any of these occurrences could result in our diminished ability to operate our business, inability to attract future borrowers or bank partners, reputational damage, regulatory intervention, and financial harm, which could negatively impact our business, results of operations, financial condition, and future prospects.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in our target markets, our business, results of operations and financial condition could be harmed.</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consumer lending market is highly competitive and increasingly dynamic as emerging technologies continue to enter into the marketplace. With the introduction of new technologies and the influx of new entrants, competition may persist and intensify in the future, which could have an adverse effect on our operations or business.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bank partners, approval rates, model efficiency, speed and simplicity of loan origination, ease-of-use, marketing expertise, service levels, products and services, technological capabilities and integration, borrower experience, brand and reputation, and terms available to our loan funding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investor bases than we have, and more extensive product and service offerings than we have. Furthermore, our existing and potential competitors may decide to modify their pricing and business models to compete more directly with us. Our ability to compete will also be affected by our ability to provide our bank partners with a commensurate or more extensive suite of loan products than those offered by our competitors. In addition, current or potential competitors, including financial technology lending platforms and existing or potential bank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0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business is heavily concentrated in U.S. consumer credit, and therefore our results are more susceptible to fluctuations in that market than a more diversified company.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spacing w:after="0" w:line="21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we are unable to manage the risks associated with fraudulent activity, our brand and reputation, business, financial condition and results of operations could be adversely affected.</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bank partners and investors in our loan funding programs. For example, in the third quarter of 2021, we experienced a temporary increase in fraudulent activity.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platform. In addition, our bank partners, investors in our loan funding programs or we may not be able to recover amounts disbursed on loans made in connection with inaccurate statements, omissions of fact or fraud, which could erode the trust in our brand and negatively impact our ability to attract new bank partners and investors in our loan funding programs.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success significantly depends on the continued service of our senior management team, including Dave Girouard, our Co-Founder and Chief Executive Officer, and Paul Gu, our Co-Founder and SVP of Product and Data Science, and other highly skilled personnel. Our success also depends on our ability to identify, hire, develop, motivate and retain highly qualified personnel for all areas of our organization.</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Competition for highly skilled personnel, including engineering and data analytics personnel, is extremely intense, particularly in the San Francisco Bay Area where one of our headquarters is located. While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Any significant volatility in the price of our stock may adversely affect our ability to attract or retain highly skilled technical, financial and marketing personnel.</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bank partners, investors and borrowers whose loans we service may suffer, resulting in an adverse effect on our business.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Security breaches of borrowers’ confidential information that we store may harm our reputation, adversely affect our results of operations and expose us to liability.</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bank partners, loan investors, or by malicious third parties. While we continuously refine our security controls to address the evolving threat landscape,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shift to a Digital First working environment could increase the risks of security breaches and incidents. Significant disruptions of our, our bank partners and third-party vendors’ and/or other business partners’ information technology systems or other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following a breach, which may cause borrowers and potential borrowers to lose confidence in the effectiveness of our data security measures on our platform. Any security breach, whether actual or perceived, would harm our reputation and ability to attract new borrowers to our platform.</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face indirect technology, cybersecurity and operational risks relating to the borrowers, bank partners, investors, vendors and other third parties with whom we do business or upon whom we rely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0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7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bank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bank partners and other third parties to lose trust in us or we could be subject to claims by our bank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are conducting an internal investigation.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manage the risks related to our loan servicing and collections obligations, our business, financial condition and results of operations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vast majority of Upstart-powered loans are not secured by any collateral, guaranteed or insured by any third party or backed by any governmental authority. As a result, we are limited in our ability to collect on such loans on behalf of our bank partners and investors of our loan funding programs if a borrower is unwilling or unable to repay them. Substantially all our collection duties and obligations for loans we service that are more than 30 days past due are subcontracted to several collection agencies. If such collection agencies do not perform as expected under our agreements with them or if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the collection agents are proactive and consistent in contacting a borrower to bring a delinquent balance current and ultimately avoid the related loan becoming charged off, which in turn makes it extremely important that the collection agents are properly staffed and trained to take prompt and appropriate action. If the collection agents are unable to maintain a high quality of service, or fulfill their servicing obligations at all due to resource constraints resulting from the increased delinquencies, it could result in increased delinquencies and charge-offs on the loans, which could decrease fees payable to us, cause our bank partners to decrease the volume of Upstart-powered loans kept on their balance sheets, erode trust in our platform or increase the costs of our loan funding programs.</w:t>
      </w:r>
    </w:p>
    <w:p>
      <w:pPr>
        <w:spacing w:after="0" w:line="19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auto loans issued through our new auto lending platform will be secured by collateral, auto loans are inherently risky, as they are often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bank partners to decrease the volume of Upstart-powered auto loans kept on their balance sheets, erode trust in our platform and increase the costs of our loan funding programs.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loan servicing is a highly manual process and an intensely regulated activity. Errors in our servicing activities, or failures to comply with our servicing obligations, could affect our internal and external reporting of the loans that we service, adversely affect our business and reputation and expose us to liability to borrowers, bank partners or investors in our loan funding programs. In addition, the laws and regulations governing these activities are subject to change. For example, at points during the COVID-19 pandemic certain states prohibited or restricted collection activities.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primarily rely on a small number of third party collection agencies to perform substantially all of our duties as the servicer for delinquent and defaulted loans. One or more collection agents could take actions that result in our arrangements becoming cost prohibitive or enter into exclusive or more favorable relationships with our competitors. If any of our collection agencies were to suspend or cease operations, or our relationship with one or more of them were to otherwise terminate, such as in the case of resource constraints caused by an economic downturn, we may need to implement substantially similar arrangements with other collection agencies on terms that may not be commercially attractive. Transitioning this aspect of loan servicing to a new collection agency may result in disruptions to our ability to service the loans made on our platform and loan performance may be impacted as a result. If we are unsuccessful in maintaining our relationships with our current collection agencies, our business, financial condition or results of operations may be adversely affected.</w:t>
      </w:r>
    </w:p>
    <w:p>
      <w:pPr>
        <w:spacing w:after="0" w:line="21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we charge our loan holders a fixed percentage servicing fee based on the outstanding balance of loans serviced. If we fail to efficiently service such loans and the costs incurred exceed the servicing fee charged, our results of operations would be adversely affected.</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20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4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utilization of our financial resources for acquisitions or investments that may fail to realize the anticipated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inability of the acquired technologies, products or businesses to achieve expected levels of revenue, profitability, productivity or other benefits;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coordination of technology, product development and sales and marketing functions and integration of administrative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transition of the acquired company’s borrowers to our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risks, including maintaining good standing with existing regulatory bodies or receiving any necessary approvals, as well as being subject to new regulators with oversight over an acquired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financing;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write-offs of loans or intangibles or other assets acquired in such transactions that may have an adverse effect on our results of operations in a given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assumption of contractual obligations that contain terms that are not beneficial to us, require us to license or waive intellectual property or increase our risk for liability;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claims or other liabilities in connection with the acquired company.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failure to address these risks or other problems encountered in connection with any future acquisitions and strategic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color w:val="auto"/>
        </w:rPr>
        <w:t>Borrowers may prepay a loan at any time without penalty, which could reduce our servicing fees and deter our bank partners and investors from investing in loans facilitated by our platform.</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bank partners and investors in our loan funding programs would be adversely affected and our ability to attract new bank partners and investors in our loan funding programs would be negatively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efforts and brand promotion activities may not be effective.</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Promoting awareness of our AI lending platform is important to our ability to grow our business, attract new bank partners, increase the number of potential borrowers on our platform and attract investors to participate in our loan funding programs. We believe that the importance of brand recognition will increase as competition in the consumer lending industry expands. However, because our bank partners are increasingly adopting our bank-branded version of our AI lending platform through their own websites, potential borrowers may not be aware they are experiencing our AI lending platform, which may hinder recognition of our brand. Successful promotion of our brand will depend largely on the effectiveness of marketing efforts and the overall user experience of our bank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1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brand promotion activities may not yield increased revenues. If we fail to successfully build trust in our AI lending platform and the performance and predictability of Upstart-powered loans, we may lose existing bank partners and investors in our loan funding programs to our competitors or be unable to attract new bank partners and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incremental increases in loan servicing costs, such as increases due to greater marketing expenditures, could have an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outcomes in legal proceedings may harm our business and results of operations.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been in the past and may in the future be subject to litigation, claims, examinations, investigations, legal and administrative cases and proceedings related to the offer and sale of Upstart-powered loans.</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to the platform. See—“If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banks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 below. In addition, the recent inquiries related to our model’s use of education variables in assessing credit risk could prompt potential litigation and government enforcement claims based on perceived violations of ECOA. See—“We have been in the past and may in the future be subject to federal and state regulatory inquiries regarding our business”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have a limited history of operating with a Digital First workforce, and the long-term impact on our business, financial condition and results of operations is uncertain.</w:t>
      </w:r>
    </w:p>
    <w:p>
      <w:pPr>
        <w:spacing w:after="0" w:line="193"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In June 2021, we announced a new Digital First work model pursuant to which remote work with less time in the office will become the primary experience for most of our employees, and we expect that our workforce will continue to become more distributed over time. However, we have a limited history of operating with a Digital First workforce and, although we anticipate that this shift will have a long-term positive impact on our business, financial condition and results of operations, the impact remains uncertain. There is no guarantee that we will realize any anticipated benefits to our business from this model, including cost savings, operational efficiencies, or productivity.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shift to a Digital First model could have a negative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 our understanding of applicable legal and regulatory requirements related to a remote workforce, as well as the latest guidance from regulatory authorities in connection with the COVID-19 pandemic,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the risks of natural disasters and other catastrophic events, and to interruption by man-made problems.</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power outages or increased risk of cybersecurity breaches due to a swift transition to remote work brought about by a catastrophic event, could have an adverse effect on our business, results of operations and financial condition. For example, the outbreak of the COVID-19 pandemic beginning in early 2020 had a significant impact on the global economy and consumer confidence. In the event that another COVID-19 resurgence occurs, it could adversely impact the economy and negatively impact consumer confidence, and could negatively impact our operations and our platform, which could seriously harm our business. Employees may have less capacity to work due to increased personal obligations (such as childcare, eldercare, or caring for family members who become sick), may become sick themselves and be unable to work, or may be otherwise negatively affected, mentally or physically, by the COVID-19 pandemic and prolonged social distancing. If a natural disaster, power outage, connectivity issue, or other event occurred that impacted our employees’ ability to work remotely, it may be difficult or, in certain cases, impossible, for us to continue our business for a substantial period of time. Further, one of our headquarters is located in the San Francisco Bay Area, a region known for seismic activity and wildfires, and our other headquarters is located in Columbus, Ohio, a region subject to blizzards.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acts of war and other armed conflicts, disruptions in global trade, travel restrictions and quarantines, terrorism and other civil, political and geo-political unrest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9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our management to make estimates and assumptions that 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and equity, and the amount of revenue and expenses that are not readily apparent from other sources. Significant assumptions and estimates used in preparing our consolidated financial statements include those related to fair value determinations, stock-based compensation, consolidation of variable interest entities, and provision for income taxes, net of valuation allowance for deferred tax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2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Further, weaknesses in our disclosure controls and internal control over financial reporting have been discovered in the past and may be discovered in the future. For example, we identified a material weakness in our internal control over financial reporting that contributed to the revision of our previously-issued 2017 and 2018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This material weakness principally related to a lack of adequate review processes and controls within our accounting and finance organization and a lack of sufficient financial reporting and accounting personnel with the technical expertise to appropriately account for certain transactions including loan servicing and securitizations. During 2019 and 2020, we took a number of actions to improve our internal control over financial reporting, such as hiring external specialists and personnel with technical accounting expertise, designing additional review procedures in our accounting and finance organization, and identifying and implementing improved processes and controls. Our management believes that these and other actions taken during this time have been fully implemented and such enhancements to our internal controls are operating effectively. Due to our remediation efforts in 2019, we concluded that the previously-identified material weakness in our internal controls was remediated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However,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9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estimates and growth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bank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200" w:lineRule="exact"/>
        <w:rPr>
          <w:sz w:val="20"/>
          <w:szCs w:val="20"/>
          <w:color w:val="auto"/>
        </w:rPr>
      </w:pPr>
    </w:p>
    <w:p>
      <w:pPr>
        <w:spacing w:after="0" w:line="22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RISKS RELATED TO OUR INTELLECTUAL PROPERTY AND PLATFORM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may be difficult and costly to protect our intellectual property rights, and we may not be able to ensure their protection.</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ability to operate our platform depends, in part, upon our proprietary technology. We may be unable to protect our proprietary technology effectively which would allow competitors to duplicate our AI models or AI lending platform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 applications pending, we do not yet have patent protection and our patent applications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significant disruption in our AI lending platform could prevent us from processing loan applicants and servicing loans, reduce the effectiveness of our AI models and result in a loss of bank partners or borrowers.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of a system outage or other event resulting in data loss or corruption, our ability to process loan applications, service loans or otherwise facilitate loans on our platform would be adversely affected. We also rely on facilities, components, and services supplied by third parties, including data center facilities and cloud storage services.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Any interference or disruption of our technology and underlying infrastructure or our use of third-party services could adversely affect our relationships with our bank partners and investors in our funding programs,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platform and internal systems rely on software that is highly technical, and if our software contains undetected errors, our business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platform and internal systems rely on software that is highly technical and complex. In addition, our platform and internal systems depend on the ability of such software to store, retrieve, process and manage high volumes of data. The software in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bank partners or institutional investors, failure to present or properly display regulatory disclosures to applicants for an extended period of time, failure to detect fraudulent activity on our platform, a negative experience for consumers or bank partners, delayed introductions of new features or enhancements, or failure to protect borrower data or our intellectual property. Any errors, bugs or defects discovered in the software on which we rely could result in harm to our reputation, loss of consumers or bank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19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aspects of our business processes include open source software, and any failure to comply with the terms of one or more of these open source licenses could negatively affect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open source licenses contain requirements that we make source code available at no cost for modifications or derivative works we create based upon the type of open source software we use.</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risks related to license requirements, the use of open source software can lead to greater risks than the use of third-party commercial software, as open source licensors generally do not provide warranties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20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significant number of consumers that apply for a loan on Upstart.com learn about and access Upstart.com through the website of a loan aggregator, typically with a hyperlink from such loan aggregator’s website to a landing page on our website. For example, a significant amount of our loan originations was derived from traffic from one of our partners, Credit Karma. Our most recent agreement with Credit Karma dated November 6, 2020 provides that either party may terminate our arrangement immediately upon a material breach of any provision of the agreement or at any time, with or without cause, by providing no less than 30 days’ notice. Even during the term of our agreement, our agreement does not require Credit Karma to display offers from lenders on Upstart.com nor prohibit them from working with our competitors or from offering competing services. In this regard, Credit Karma has been directing more customer traffic to a program that hosts and aggregates the credit models of other loan providers directly on its platform for the purpose of giving credit offers. If traffic from Credit Karma decreases in the future as a result of this program or for other reasons, our loan originations and results of operations would be adversely affected. There is also no assurance that Credit Karma will continue its contract with us on commercially reasonable terms or at all. Further, on December 3, 2020, Credit Karma was acquired by Intuit Inc. It is possible Intuit may not continue our agreement on commercially reasonable terms or at all, which would adversely affect our business.</w:t>
      </w:r>
    </w:p>
    <w:p>
      <w:pPr>
        <w:spacing w:after="0" w:line="2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we are planning to move towards more direct acquisition channels, we anticipate that we will continue to depend in significant part on relationships with loan aggregators to maintain and grow our business. Our current agreements with these loan aggregators do not require them to display offers from lenders on Upstart.com nor prohibit them from working with our competitors or from offering competing services. Further, there is no assurance that a loan aggregator will renew its contract with us on commercially reasonable terms or at all. 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2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bank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bank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 although we attempt to verify the income, employment and education information provided by certain selected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bank partner or investor.</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if third party data used to train and improve our AI models is inaccurate, or access to such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platform or increase the number of Upstart-powered loans and adversely affect our business, financial condition and results of operations.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Failure by our third-party vendors or our failure to comply with legal or regulatory requirements or other contractual requirements could have an adverse effect on our business.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CFPB and each of the prudential bank regulators that supervise our bank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bank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bank partners have not met the heightened standards for oversight of our third-party vendors, we or our bank partners could be subject to enforcement actions, civil monetary penalties, supervisory orders to cease and desist or other remedial actions, which could have an adverse effect on our business, financial condition and results of operations. Furthermore, in July 2021, the prudential bank regulators issued a proposal to significantly revise bank oversight of service providers, which could impact the way in which we are monitored or reviewed where we provide services to those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bank partners rely on certain authority under federal law to export the interest rate requirements of the state where each bank partner is located to borrowers in all other states. Further, certain of our bank partners and institutional investors rely on the ability of subsequent holders to continue charging such rate and fee structures and enforce other contractual terms agreed to by our bank partners which are permissible under federal banking laws following the acquisition of the loans. The current maximum annual percentage rate of the loans facilitated through our platform is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 Furthermore, other states have enacted additional limitations on interest rates and fees, such as the March 2021 Illinois law that capped interest rates on loans at an “all-in” 36% APR.</w:t>
      </w: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investors may face litigation, government enforcement or other challenge, for example, based on claims that rates and fees were lawful at origination and through any period during which the originating bank partner retained the loan and interests therein,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2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 separate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19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issued a rule pertaining to the “true lender” issue, which was challenged by state attorneys general in a complaint filed January 5, 2021, and subsequently repealed through the Congressional Review Act on June 30, 2021.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w:t>
      </w:r>
    </w:p>
    <w:p>
      <w:pPr>
        <w:spacing w:after="0" w:line="21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effective October 2021, Maine updated its Consumer Credit Code to include a statutory “true lender” test, providing that an entity is a “lender” subject to certain requirements of the Consumer Credit Code if the person, among other things: (i) has the predominant economic interest in a loan; (ii) brokers, arranges, or facilitates a loan and has the right to purchase the loan; or (iii) based on the totality of the circumstances, appears to be the lender, and the transaction is structured to evade certain statutory requirements. Me. Rev. Stat. § 2-702 . It is possible that other states may follow suit, instituting similar statutory “true lender” tests, which may impact the risk of true lender litigation in certain jurisdictions, as well as the tests applied by courts and regulators in determining the true lender. While such provisions provide additional clarity with respect to jurisdictional requirements, they may also result in increased usury and licensing risk. For example, Hawaii recently broadened its oversight of installment lenders, and other states may take different paths to promulgate similar “true lender” restrictions, and if not through a legislative path, impacted parties may have little to no advance notice of new restrictions and compliance obligations.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 borrower or any state agency were to successfully bring a claim against us, our bank partners, our securitization vehicles and/or the trustees of such vehicles or our institutional investors for a state usury law or fee restriction violation and the rate or fee at issue on the loan was impermissible under applicable state law, we, our bank partners, securitization vehicles and/or trustees or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bank partners, securitization trustees or institutional investors to enter into or renew relationships; and were such repercussions to apply to our bank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204"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Upstart-powered loans are originated in reliance on the fact that our bank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bank partners, many state consumer financial regulatory requirements, including usury restrictions (other than the restrictions of the state in which a bank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in June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laws. This case has since been remanded to the Superior Court of the District of Columbia. Additionally, while this case has since been settled, in April 2021, the Washington DC Attorney General filed a similar complaint against online lender Opportunity Financial, LLC, alleging that it rather than a bank originated these loans and the loans were therefore in violation of Washington, DC usury laws. Also in April 2021, the Maryland Office of the Commissioner of Financial Regulation also alleged in the context of a civil suit that a state chartered bank and its fintech partners engaged in a bank partnership program that violated various state licensing and credit statutes.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CRB (Case No. 21-CV-985). There is an ongoing risk that government agencies and private plaintiffs will seek to challenge these types of relationships.</w:t>
      </w:r>
    </w:p>
    <w:p>
      <w:pPr>
        <w:spacing w:after="0" w:line="22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bank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bank partners, institutional investors or other commercial counterparties). However, we have taken steps to confirm that our business model conforms with the requirements of the Colorado safe harbor. We have also taken additional steps to facilitate compliance with that above-described law recently enacted in Maine.</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It is also possible that other state agencies or regulators could make similar assertions. If a court, or a state or federal enforcement agency, were to deem Upstart, rather than our bank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 material adverse effect on our business (directly, or as a result of adverse impact on our relationships with our bank partners, institutional investors or other commercial counterparties).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capped call transactions may affect the value of our common stock.</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issuance of the Notes (as defined below), we entered into capped call transactions with certain financial institutions as counterparties. The capped call transactions cover, subject to customary adjustments, the number of shares of our common stock initially underlying the Notes. The capped call transactions are expected generally to reduce the potential dilution to our common stock upon any conversion of the Notes and/or offset any cash payments we are required to make in excess of the principal amount of converted Notes, as the case may be.</w:t>
      </w:r>
    </w:p>
    <w:p>
      <w:pPr>
        <w:spacing w:after="0" w:line="19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This activity could also cause or prevent an increase or a decrease in the market price of our common stock or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risk with respect to the capped call transactions.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counterparties to the capped call transactions entered into in connection with the offering of the Notes (as defined below) are financial institutions, and we are subject to the risk that one or more of the counterparties may default or otherwise fail to perform, or may exercise certain rights to terminate,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one or more capped call transactions becomes subject to bankruptcy or other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our common stock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200" w:lineRule="exact"/>
        <w:rPr>
          <w:sz w:val="20"/>
          <w:szCs w:val="20"/>
          <w:color w:val="auto"/>
        </w:rPr>
      </w:pPr>
    </w:p>
    <w:p>
      <w:pPr>
        <w:spacing w:after="0" w:line="25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Litigation, regulatory actions and compliance issues could subject us to significant fines, penalties, judgments, remediation costs and/or requirements resulting in increased expenses.</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credit reporting, collections and do-not-call.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bank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bank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19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of our agreements used in the course of our business include arbitration clauses. If our arbitration agreements were to become unenforceable for any reason, we could experience an increase to our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litigation costs and exposure to potentially damaging class action lawsuits, with a potential material adverse effect on our business and results of operations.</w:t>
      </w:r>
    </w:p>
    <w:p>
      <w:pPr>
        <w:spacing w:after="0" w:line="2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or facilitate compliance with a variety of federal, state, and local laws, including those related to consumer protection and loan financings.</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must comply with regulatory regimes or facilitate compliance with regulatory regimes on behalf of our bank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The current presidential administration has brought an increased focus on enforcement of federal consumer protection laws and has appointed consumer-oriented regulators at federal agencies such as the CFPB and the OCC. It is possible that regulators in the presidential administration could promulgate rulemakings and bring enforcement actions that materially impact our business and the business of our originating bank partners. These regulators may augment requirements that apply to loans facilitated by our platform, or impose new programs and restrictions, including forbearance initiatives related to the COVID-19 pandemic, and could otherwise revise or create new regulatory requirements that apply to us (or our bank partners), impacting our business, operations, and profitability.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state laws generally regulate interest rates and other charges and require certain disclosures. In addition, other federal and state laws may apply to the origination, servicing and collection of loans originated on our platform, and the purchase and sale of whole loans or asset-backed securitizations. In particular, certain laws, regulations and rules we or our bank partners are subject to include:</w:t>
      </w:r>
    </w:p>
    <w:p>
      <w:pPr>
        <w:spacing w:after="0" w:line="76" w:lineRule="exact"/>
        <w:rPr>
          <w:sz w:val="20"/>
          <w:szCs w:val="20"/>
          <w:color w:val="auto"/>
        </w:rPr>
      </w:pPr>
    </w:p>
    <w:p>
      <w:pPr>
        <w:jc w:val="both"/>
        <w:ind w:left="660" w:hanging="328"/>
        <w:spacing w:after="0" w:line="279"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63"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57"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7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2" w:lineRule="exact"/>
        <w:rPr>
          <w:rFonts w:ascii="Arial" w:cs="Arial" w:eastAsia="Arial" w:hAnsi="Arial"/>
          <w:sz w:val="18"/>
          <w:szCs w:val="18"/>
          <w:color w:val="auto"/>
        </w:rPr>
      </w:pPr>
    </w:p>
    <w:p>
      <w:pPr>
        <w:ind w:left="660" w:right="160" w:hanging="328"/>
        <w:spacing w:after="0"/>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Fair Debt Collection Practices Act, Regulation F, and similar state debt collection laws, which provide guidelines and limitations on the conduct of third-party debt collectors (and some limitation on creditors collecting their own debts) in connection with the collection of consumer debts;</w:t>
      </w:r>
    </w:p>
    <w:p>
      <w:pPr>
        <w:spacing w:after="0" w:line="80"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Gramm-Leach-Bliley Act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6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Bankruptcy Code, which limits the extent to which creditors may seek to enforce debts against parties who have filed for bankruptcy protection;</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8"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62"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to Financial Privacy Act and similar state laws enacted to provide the financial records of financial institution customers a reasonable amount of privacy from government scrutiny;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Bank Secrecy Act and the USA PATRIOT Act, which relate to compliance with anti-money laundering, borrower due diligence and record-keeping policies and procedures;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state-specific and local laws and regulations.</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bank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in March 2021, Illinois enacted a law to cap interest rates at an “all-in” 36% APR.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bank partners from engaging in business with Upstart in certain ways, our bank partners’ ability to originate loans in certain states could be greatly reduced, and as a result, our business, financial condition and results of operations would be adversely affected.</w:t>
      </w:r>
    </w:p>
    <w:p>
      <w:pPr>
        <w:spacing w:after="0" w:line="2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0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Internet-based loan origination processes may give rise to greater risks than paper-based processes and may not always be allowed under state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auto loans issued under our auto lending platform,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under our auto lending platform.</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found to be operating without having obtained necessary state or local licenses, our business, financial condition and results of operations could be adversely affected.</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platform and the related activities we perform, as well as to our banking partners,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or one of our banking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bank partners on our platform could be rendered void or unenforceable in whole or in part, any of which could have a material adverse effect on our business.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and Regulation V, the Electronic Funds Transfer Act and Regulation E, among other regulations, and to enforce compliance with those laws. The CFPB supervises banks, thrifts and credit unions with assets over $10 billion and examines certain of our bank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including safeguarding against algorithmic bias. Our current no-action letter expires on November 30, 2023, unless terminated by the CFPB earlier for one of the bases provided for by the no-action letter, and there is no assurance that the CFPB will permit us to continue to operate under its current no-action letter policies or that it will not change its position regarding supervisory or enforcement action against us in the future. Further, this no-action letter does not extend to credit products offered on Upstart’s platform other than unsecured closed-end loans. 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spacing w:after="0" w:line="20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have committed resources to enhancing our compliance programs, future actions by the CFPB (or other regulators) against us, our bank partners or our competitors could discourage the use of our services or those of our bank partners, which could result in reputational harm, a loss of bank partners, borrowers or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new presidential administration has appointed and is expected to continue to appoint consumer-oriented regulators at federal agencies such as the CFPB, Federal Trade Commission, the OCC and the FDIC and the government’s focus on enforcement of federal consumer protection laws is expected to increase. It is possible that these newly appointed regulators could promulgate rulemakings and bring enforcement actions that materially impact our business and the business of our bank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been in the past and may in the future be subject to federal and state regulatory inquiries regarding our business.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from time to time in the normal course of our business, received, and may in the future receive or be subject to, inquiries or investigations by state and federal regulatory agencies and bodies such as the CFPB, FTC, state Attorneys General, the SEC, state financial regulatory agencies and other state or federal agencies or bodies regarding the Upstart platform, including the marketing of loans for lenders, underwriting and pricing of consumer loans for our bank partners, our fair lending compliance program and licensing and registration requirements. We have addressed these inquiries directly and engaged in open dialogue with regulators. For example,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are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We must also update the CFPB of material changes to information included in our no-action letter application or if our products or services are not performing as expected in a material way. Such no-action letter expires on November 30, 2023, unless terminated by the CFPB earlier for one of the bases provided for by the no-action letter. We can provide no assurance that the CFPB will continue to provide such relief, and it is possible the CFPB will change its position regarding supervisory or enforcement action against us in the future. Further, this no-action letter does not extend to other credit products offered on Upstart’s platform. Moreover, were we determined to be conducting business contrary to the facts presented to, and relied on, by the CFPB in issuing the no-action letter, we would be subject to heightened enforcement risk by the CFPB. We have also received an inquiry from the North Carolina Department of Justice regarding our role in facilitating the origination of loans for educational purposes. We have provided information in response to that inquiry, and cannot provide any assurances regarding the outcome of that inquiry.</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Based upon statements by FTC officials, we believe this scrutiny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receive, transmit and store a large volume of personally identifiable information and other sensitive data from applicants and borrowers. Each bank partner can access information about their respective borrowers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declined applicants via daily loan reports and other reporting tools that are provided via the platform. For loan investors, while we generally limit access to personally identifiable information, we do share some personally identifiable information about borrowers with certain investors in our loan funding programs. There are federal, state and foreign laws regarding privacy and the storing, sharing, use, disclosure and protection of personally identifiable information and sensitive data. Specifically, cybersecurity and data privacy issues, particularly with respect to personally identifiable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Federal Trade Commission, or FTC, and under Section 5 of the Federal Trade Commission Act, we and our bank partners are prohibited from engaging in unfair and deceptive acts and practices, or UDAP.</w:t>
      </w:r>
    </w:p>
    <w:p>
      <w:pPr>
        <w:spacing w:after="0" w:line="19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the California Consumer Privacy Act, or the CCPA, which went into effect on January 1, 2020, requires, among other things, that covered companies provide disclosures to California consumers and afford such consumers new abilities to opt-out of certain sales or retention of their personal information by us. Aspects of the CCPA and its interpretation remain unclear. We cannot fully predict the impact of the CCPA on our business or operations, but it may require us to further modify our data infrastructure and data processing practices and policies and to incur additional costs and expenses in an effort to continue to comply. In addition, California voters approved Proposition 24 in the November 2020 election to create the California Privacy Rights Act, which amends and purports to strengthen the CCPA and will create a state agency to enforce privacy laws. The CPRA creates obligations relating to consumer data beginning on January 1, 2023 (with a one-year lookback), with implementing regulations expected on or before July 1, 2022, and enforcement beginning July 1, 2023. Following the enactment of the CCPA, in 2021, Virginia enacted the Virginia Consumer Data Protection Act of 2021, or VCDPA, and Colorado enacted the Colorado Privacy Act, or CPA. Several other states are considering enacting similar legislation. Additionally, other U.S. states are proposing and enacting laws and regulations that impose obligations similar to the CCPA or that otherwise involve significant obligations and restrictions. Compliance with current and future borrower privacy data protection and information security laws and regulations could result in higher compliance, technical or operating costs.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As the regulatory framework for artificial intelligence and machine learning technology evolves, our business, financial condition and results of operations may be adversely affected.</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 For example, on March 29, 2021, the federal financial regulators issued a request for information to enable them to better understand how artificial intelligence and machine learning are utilized in financial services, and the information and views obtained could serve as a basis for future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Company Act, our ability to conduct business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banks.</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Exemptive orders provided by the SEC under the Investment Company Act may cease to be effective if the facts and analysis upon which they are based materially change or the recipient of the order fails to comply with conditions outlined in the order. Although not currently anticipated, it is possible that our business will change in the future in a way that causes the exemptive order to no longer apply to our business, either because the facts of how we conduct our business change or because we no longer meet the conditions outlined in the order. If the exemptive order ceases to apply to our business, we could be deemed an investment company and may be required to institute burdensome compliance requirements, restricting our activities in a way that could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Advisers Act, our ability to conduct business could be materially adversely affected.</w:t>
      </w:r>
    </w:p>
    <w:p>
      <w:pPr>
        <w:spacing w:after="0" w:line="2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two funds.</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While we believe our current practices do not require us or any of our other affiliates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our transactions with investors in our loan funding programs are found to have been conducted in violation of the Securities Act or similar state law, or we have generally violated any applicable law, our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obtain financing for loans facilitated through our platform could be materially adversely affected, and we could be subject to private or regulatory actions.</w:t>
      </w:r>
    </w:p>
    <w:p>
      <w:pPr>
        <w:spacing w:after="0" w:line="2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transactions in our loan funding programs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required to register with the SEC or under state securities laws as a broker-dealer, our ability to conduct business could be materially adversely affected.</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0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Anti-money laundering, anti-terrorism financing, anti-corruption and economic sanctions laws could have adverse consequences for us.</w:t>
      </w:r>
    </w:p>
    <w:p>
      <w:pPr>
        <w:spacing w:after="0" w:line="2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bank partners or institutional investors, and reputational harm, all of which could harm our business.</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securitizations, whole loan sales and warehouse facilities expose us to certain risks, and we can provide no assurance that we will be able to access the securitization or whole loan sales markets, or secured warehouse credit facilities, in the future, which may require us to seek more costly financing.</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facilitated the securitizations, and may in the future facilitate securitizations, of certain loans acquired from our bank partners in order to allow certain of our originating bank partners, our whole loan purchasers and ourselves to liquidate their loans through the asset-backed securities markets or through other capital markets products. In term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and certain originating bank partners who contribute loans to the transactions receive cash and/or securities representing debt and equity interests in such SPE, which are the proceeds from the sale of the securities. The equity interests in the SPEs are residual interests in that they entitle the equity owners of such SPEs, including us, to a certain proportion of the residual cash flows, if any, from the loans and to any assets remaining in such SPEs once the notes are satisfied and paid in full (or in the case of a revolving loan, paid in full and all commitments terminated). As a result of challenging credit and liquidity conditions, the value of the subordinated securities we or other transaction participants retain in such SPEs might be reduced or, in some cases, eliminated.</w:t>
      </w:r>
    </w:p>
    <w:p>
      <w:pPr>
        <w:spacing w:after="0" w:line="20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periods of financial disruption, such as the financial crisis that began in 2008 and the beginning of the COVID-19 pandemic in the spring of 2020, the securitization market was constrained, and this could continue or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9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it is not possible or economical for us to securitize loans in the future, we would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of operations. If we are unable to access such financing, our ability to originate loans and our results of operations, financial condition and liquidity would be materially adversely affected.</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gain on sale and related servicing fees generated by our whole loan sales, and the servicing fees based on sales of asset-backed securities, also represent a significant source of our earnings. We cannot assure you that our loan purchasers will continue to purchase loans or securities (either through whole loan sales or asset-backed securities) or that they will continue to purchase loans in transactions that generate the same spreads and/or fees that we have historically obtained. Factors that may affect loan purchaser demand for loans include:</w:t>
      </w:r>
    </w:p>
    <w:p>
      <w:pPr>
        <w:spacing w:after="0" w:line="63" w:lineRule="exact"/>
        <w:rPr>
          <w:sz w:val="20"/>
          <w:szCs w:val="20"/>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among loan originators that can sell either larger pools of loans than we are able to sell or pools of loans that have characteristics that are more desirable to certain loan purchasers than the characteristics that our loan pools have;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servicing fees and other expenses may reduce overall net return on purchased pools of loans;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actual or perceived credit performance and loan grade and term mix of the portfolios of loans offered for sale;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loan purchasers’ sector and company investment diversification requirements and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yielding investment opportunities at a risk profile deemed similar to our sold loan portfolios;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borrower prepayment behavior within the underlying pools;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or investment practices related to maintaining net asset value, mark-to-market and similar metrics surrounding pools of purchased loans; and</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loan purchasers to access funding and liquidity channels, including warehouse financing and securitization markets, on terms they find acceptable to deliver an appropriate return net of funding costs, as well as general market trends that affect the appetite for loan financing investments.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Potential investors in our loan funding programs may also reduce the prices investors in those products are willing to pay for the loans or interests in loans they purchase during periods of economic slowdown or recession to compensate for any increased risks. A reduction in the sale price of the loans and loan financing products we sell would negatively impact our operations and returns. Any sustained decline in demand for loans or loan financing products, or any increase in delinquencies, defaults or losses that result from economic downturns, may also reduce the price we receive on future loan sales.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securitizations are subject to regulation under federal law, and failure to comply with those laws could adversely affect our business.</w:t>
      </w:r>
    </w:p>
    <w:p>
      <w:pPr>
        <w:spacing w:after="0" w:line="2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20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RISKS RELATED TO LOAN FUNDING AND INDEBTEDNESS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maintain a diverse and robust loan funding program, our growth prospects, business, financial condition and results of operations could be adversely affected.</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business depends on sourcing and maintaining a diverse and robust loan funding program to fund Upstart-powered loans that our bank partners are unable or unwilling to retain on their balance sheets. Our loan funding program includes whole loan sales and pass-through certificate issuances to institutional investors, asset-backed securitization transactions, and utilization of committed warehouse credit facilities. While our loan funding program is diverse, only a limited portion of such funding sources are committed or guaranteed. We cannot be sure that these funding sources will continue to be available on reasonable terms or at all beyond the current maturity dates of our existing securitizations and debt financing arrangements.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 events of default or breaches of financial, performance or other covenants, or worse than expected performance of certain pools of loans underpinning our pass-through certificate transactions, asset-backed securitizations or other debt facilities, could reduce or terminate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capital market volatility and regulatory reforms. For example, at the start of the COVID-19 pandemic, the availability of most of our loan funding sources was significantly reduced. In the event of another sudden or unexpected shortage or restriction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connection with our loan funding programs, we make representations and warranties concerning the loans sold, and if such representations and warranties are not accurate when made, we could be required to repurchase the loans.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our loan funding programs, including asset-backed securitizations, pass-through certificate transactions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investors in our loan funding programs. If those representations and warranties were not accurate when made, we may be required to repurchase the underlying loans. Failure to repurchase so-called ineligible loans when required could constitute an event of default or termination event under the agreements governing our various loan funding programs. Through December 31, 2021, the number of repurchased Upstart-powered loans as a result of inaccurate representations and warranties represents less than 0.17%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future downgrade or non-publication of ratings may increase the interest rates that are required to attract investment in such asset-backed securities, adversely impacting our ability to provide loan liquidity to our bank partners and whole loan purchasers. As a result, our lack of parent debt rating and any possible downgrades to the ratings of our asset-backed securities could negatively impact our business, financial condition and results of operations.</w:t>
      </w:r>
    </w:p>
    <w:p>
      <w:pPr>
        <w:spacing w:after="0" w:line="21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rely on borrowings under our warehouse credit facilities to fund certain aspects of our operations, and any inability to meet our obligations as they come due or to comply with various covenants could harm our business.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through our warehouse trust special purpose entities, have entered into warehouse credit facilities to partially finance the purchase of loans from certain banks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our warehouse credit facility for personal, unsecured loans, we may borrow up to $100.0 million until June 2023, and any outstanding principal, together with any accrued and unpaid interest, are due and payable by the warehouse trust special purpose entity in June 2024. As of December 31, 2021, the amount borrowed under this credit facility was $48.0 million, and $76.9 million of aggregated fair value of loans purchased were pledged as collateral. Under our warehouse facility for auto loans, we may borrow up to $100.0 million until December 2022, and any outstanding principal, together with any accrued and unpaid interest, are due and payable by the warehouse trust special purpose entity twelve months after the determined amortization date. As of December 31, 2021, there were no borrowings under this credit facility and thus no collateral was pledged as collateral.</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warehouse credit facilities impose operating and financial covenants on the applicable warehouse trust special purpose entity, and under certain events of default, the lender could require that all outstanding borrowings become immediately due and payable or terminate their agreement with us. We have in the past, and may in the future, fail to comply with certain operating or financial covenants in our warehouse credit facilities, requiring a waiver from our lenders. If we are unable to repay our obligations at maturity or in the event of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platform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adverse effect on our bank partners’ ability or willingness to originate new loans, which in turn would have an adverse effect on our business, results of operations and financial condition.</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Some of our borrowings carry a floating rate of interest linked to the London Inter-bank Offered Rate, or LIBOR. On July 27, 2017, the United Kingdom Financial Conduct Authority, or FCA, announced that it intends to stop persuading or compelling banks to submit rates for the calculation of LIBOR after 2021. On March 5, 2021, the FCA announced that all LIBOR settings will either cease to be provided by any administrator, or no longer be representative immediately after December 31, 2021, for all GBP, EUR, CHF and JPY LIBOR settings and one-week and two-month US dollar LIBOR settings, and immediately after June 30, 2023 for the remaining US dollar LIBOR settings, including three-month US dollar LIBOR. As a result, while the FCA and the submitting LIBOR banks have indicated they will support the LIBOR indices through 2021 to allow for an orderly transition to an alternative reference rate, it is possible that beginning in 2022, LIBOR will no longer be available as a reference rate. In particular, the interest rate of borrowings under our warehouse credit facility for personal, unsecured loans and certain related interest rate hedging arrangements are predominately based upon LIBOR. While these agreements generally include alternative rates to LIBOR, if a change in indices results in interest rate increases on our debt, debt service requirements will increase, which could adversely affect our cash flow and results of operations. We do not expect a materially adverse change to our financial condition or liquidity as a result of any such changes or any other reforms to LIBOR that may be enacted in the United Kingdom or elsewhere.</w:t>
      </w:r>
    </w:p>
    <w:p>
      <w:pPr>
        <w:spacing w:after="0" w:line="20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continue to make investments to support our business growth and may require additional funds to respond to business challenges, including the need to develop new loan products, enhance our AI models, improve our operating infrastructure, acquire complementary businesses and technologies, or make strategic investments. Accordingly, we may need to engage in equity, debt or convertible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the Notes (as defined below), it may have a dilutive effect on our stockholders’ equity holdings. Further, debt financing, if available, may involve covenants restricting our operations or our ability to incur additional debt. Any debt or additional equity financing that we raise may contain terms that are not favorable to us or our stockholders.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are unable to obtain adequate financing or on terms satisfactory to us when we require it, we may be unable to pursue certain business opportunities and our ability to continue to support our business growth and to respond to business challenges could be impaired and our business may be harmed.</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in August 2021, we issued $661.3 million aggregate principal amount of 0.25% convertible senior notes due 2026, or Notes (including the exercise in full of the initial purchasers’ option of an additional $86.3 million aggregate principal of additional Notes). We may not have the ability to raise the funds necessary to settle conversions of the Notes in cash, to repurchase the Notes upon a fundamental change or to repay the Notes in cash at their maturity (if not earlier converted, redeemed or repurchased), and our future debt may contain limitations on our ability to pay cash upon the conversion of the Notes at their maturity or to repurchase the Notes. Holders of the Notes may require us to purchase all or a portion of their Notes upon the occurrence of a fundamental change before the maturity date at a fundamental change repurchase price equal to 100% of the principal amount of the notes to be repurchased, plus accrued and unpaid interest, if any. Additionally, upon conversion of the Notes, unless we elect to deliver solely shares of our common stock to settle such conversion (other than paying cash in lieu of delivering any fractional share), we will be required to make cash payments in respect of the Notes being converted. Moreover, we will be required to pay the Notes in cash at their maturity unless earlier converted, redeemed or repurchased. However, we may not have enough available cash or be able to obtain financing at the time we are required to make repurchases of the Notes surrendered therefor or pay cash for Notes being converted or at their maturity. In addition, our ability to repurchase the Notes or to pay cash upon conversions of the Notes may be limited by law, by regulatory authority or by agreements governing our future indebtedness at the time. Our failure to repurchase Notes at a time when the repurchase is required by the indenture or to pay any cash payable on future conversions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as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pay cash with respect to Notes being converted or at maturity of the Notes.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the indenture for the Notes may deter or prevent a business combination that may be favorable to you.</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fundamental change occurs prior to the maturity date of the Notes, holders of the Notes will have the right, at their option, to require us to repurchase all or a portion of their Notes. In addition, if a make-whole fundamental change occurs prior to the maturity date of the Notes, we will in some cases be required to increase the conversion rate for a holder that elects to convert its Notes in connection with such make-whole fundamental change in the manner specified in the indenture. Furthermore, the indenture will prohibit us from engaging in certain mergers or acquisitions unless, among other things, the surviving entity assumes our obligations under the Notes. These and other provisions in the indenture could deter or prevent a third party from acquiring us even when the acquisition may be favorable to you.</w:t>
      </w:r>
    </w:p>
    <w:p>
      <w:pPr>
        <w:spacing w:after="0" w:line="200" w:lineRule="exact"/>
        <w:rPr>
          <w:sz w:val="20"/>
          <w:szCs w:val="20"/>
          <w:color w:val="auto"/>
        </w:rPr>
      </w:pPr>
    </w:p>
    <w:p>
      <w:pPr>
        <w:spacing w:after="0" w:line="25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RISKS RELATED TO TAXES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use our deferred tax assets to offset future taxable income may be subject to certain limitations, which may have a material impact on our result of operations.</w:t>
      </w:r>
    </w:p>
    <w:p>
      <w:pPr>
        <w:spacing w:after="0" w:line="19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December 31, 2021, a valuation allowance has been recorded to recognize only deferred tax assets that are more likely than not to be realized in the United States federal and state tax jurisdictions. Our net deferred tax assets are primarily related to net operating loss carryforwards, or NOLs.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also be limited in the portion of NOLs that we can use in the future to offset taxable income for U.S. federal and state income tax purposes. The Tax Cuts and Jobs Act, or the Tax Act, as modified by the Coronavirus Aid, Relief, and Economic Security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law.</w:t>
      </w:r>
    </w:p>
    <w:p>
      <w:pPr>
        <w:spacing w:after="0" w:line="22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could have a material adverse effect on our business, financial condition and results of operations.</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2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may face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00" w:lineRule="exact"/>
        <w:rPr>
          <w:sz w:val="20"/>
          <w:szCs w:val="20"/>
          <w:color w:val="auto"/>
        </w:rPr>
      </w:pPr>
    </w:p>
    <w:p>
      <w:pPr>
        <w:spacing w:after="0" w:line="25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may be volatile, and you could lose all or part of your investment.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7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financial technology stocks;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financial technology companies and technology companies that offer services to financial institutions;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quarterly fluctuations in demand for the loans we facilitate through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government policies or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issuance of any cease-and-desist orders from regulatory agencies that we are subject to;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perceived data security breaches or other data security incidents;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political unrest, natural disasters, pandemics or responses to these events;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Litigation of this type, if instituted against us, could result in substantial costs and a diversion of our management’s attention and resources.</w:t>
      </w:r>
    </w:p>
    <w:p>
      <w:pPr>
        <w:spacing w:after="0" w:line="211"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We cannot guarantee that our share repurchase program will be fully consummated or that it will enhance long-term shareholder value. Share repurchases could also increase the volatility of the trading price of our common stock and will diminish our cash reserves.</w:t>
      </w:r>
    </w:p>
    <w:p>
      <w:pPr>
        <w:spacing w:after="0" w:line="14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program could affect the trading price of our stock and increase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any announcement of a termination of this program may result in a decrease in the trading price of our stock. In addition, this program will diminish our cash reserves.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capped call transactions may affect the price of our common stock.</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issuance of the Notes, we entered into privately negotiated capped call transactions with certain financial institutions as counterparties. The capped call transactions initially cover, subject to customary adjustments, the number of shares of our common stock initially underlying the Notes. The capped call transactions are expected to offset the potential dilution and/or offset any cash payments we make in excess of the aggregate principal amount of converted Notes, as the case may be, as a result of conversion of the Notes.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the Notes). This activity could also cause or prevent an increase or a decrease in the market price of our common stock.</w:t>
      </w: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Certain insiders have significant voting power, which could limit your ability to influence the outcome of key transactions, including a change of control.</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directors, officers, and each of our stockholders who own greater than 5% of our outstanding capital stock and their affiliates, in the aggregate, beneficially own a majority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large number of shares of our capital stock eligible for public sale or subject to rights requiring us to register them for public sale could depress the market price of our common stock.</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and the perception that these sales could occur may also depress the market price of our common stock. 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the shares issued upon exercise of outstanding stock options will be available for immediate resale in the United States in the open market.</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does not provide any rights directly related to the loans we hold.</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may be diluted by the future issuance of additional common stock in connection with our equity incentive plans, acquisitions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authorizes us to issue our 616,340,335 shares of authorized but unissued common stock and rights relating to common stock for the consideration and on the terms and conditions established by our Board of Directors in its sole discretion, whether in connection with acquisitions or otherwise. We have reserved 9,979,700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199"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have implemented “sell-to-cover” in which shares of our common stock are sold into the market on behalf of RSU holders upon vesting of RSUs to cover tax withholding liabilities and such sales will result in dilution to our stockholders.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 U.S. tax laws, employment tax withholding and remittance obligations for restricted stock units, 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will be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but do cause dilution to our stockholders and, to the extent a large number of shares are sold in connection with any vesting event, such sales volume may cause our price to fluctuate.</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80" w:lineRule="exact"/>
        <w:rPr>
          <w:sz w:val="20"/>
          <w:szCs w:val="20"/>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of Directors is classified into three classes of directors with staggered three-year terms and directors are only able to be removed from office for cause;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or a majority of our entire Board of Directors are authorized to call a special meeting of stockholders;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amendment of the above anti-takeover provisions in our amended and restated certificate of incorporation or amended and restated bylaws will require the approval of two-thirds of the combined vote of our then-outstanding shares of our common stock.</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amended and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22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is the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courts have exclusive jurisdiction.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common stock market price and trading volume could decline if equity or industry analysts do not publish research or publish inaccurate or unfavorable research about our business.</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qualified board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 has limited experience managing a public company.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team has limited experience managing a publicly traded company, interacting with public company investors, and complying with the increasingly complex laws pertaining to public companies. These new obligations and constituents require significant attention from our management team and may divert their attention away from the day-to-day management of our business, which could harm our business, results of operations, and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for the foreseeable future.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5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Our corporate headquarters are located in San Mateo, California and Columbus, Ohio and consist of 108,015 square feet and 54,870 square feet of space, respectively, under leases that expire in February 2028 and June 2027, respectively. In addition to our headquarters, we lease 233,573 square feet of office space for origination and servicing operations in Columbus, Ohio expiring in August 2032.</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lease all of our facilities and do not own any real property. We intend to procure additional space in the future as we add employees and expand geographically. We believe our facilities are adequate and suitable for our current needs and that, should it be needed, suitable additional or alternative space will be available to accommodate our operations.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 description of our material pending legal proceedings, please see “</w:t>
      </w:r>
      <w:r>
        <w:rPr>
          <w:rFonts w:ascii="Arial" w:cs="Arial" w:eastAsia="Arial" w:hAnsi="Arial"/>
          <w:sz w:val="18"/>
          <w:szCs w:val="18"/>
          <w:i w:val="1"/>
          <w:iCs w:val="1"/>
          <w:color w:val="auto"/>
        </w:rPr>
        <w:t>Note 11. Commitments and Contingencie</w:t>
      </w:r>
      <w:r>
        <w:rPr>
          <w:rFonts w:ascii="Arial" w:cs="Arial" w:eastAsia="Arial" w:hAnsi="Arial"/>
          <w:sz w:val="18"/>
          <w:szCs w:val="18"/>
          <w:color w:val="auto"/>
        </w:rPr>
        <w:t>s” in Part II, Item 8 of this Annual Report on Form 10-K incorporated herein by reference. "</w:t>
      </w:r>
      <w:r>
        <w:rPr>
          <w:rFonts w:ascii="Arial" w:cs="Arial" w:eastAsia="Arial" w:hAnsi="Arial"/>
          <w:sz w:val="18"/>
          <w:szCs w:val="18"/>
          <w:i w:val="1"/>
          <w:iCs w:val="1"/>
          <w:color w:val="auto"/>
        </w:rPr>
        <w:t>Risk Factors</w:t>
      </w:r>
      <w:r>
        <w:rPr>
          <w:rFonts w:ascii="Arial" w:cs="Arial" w:eastAsia="Arial" w:hAnsi="Arial"/>
          <w:sz w:val="18"/>
          <w:szCs w:val="18"/>
          <w:color w:val="auto"/>
        </w:rPr>
        <w:t>" in Part I, Item 1A of this Annual Report on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0" w:lineRule="exact"/>
        <w:rPr>
          <w:sz w:val="20"/>
          <w:szCs w:val="20"/>
          <w:color w:val="auto"/>
        </w:rPr>
      </w:pPr>
    </w:p>
    <w:p>
      <w:pPr>
        <w:ind w:right="840"/>
        <w:spacing w:after="0" w:line="267"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has been traded on the Nasdaq Global Select Market under the ticker symbol “UPST” since December 16, 2020. Prior to that date, there was no public trading market for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February 11, 2022, we had 55 holders of record of our common stock. Because many of our shares of common stock are held in street name by brokers and other nominees on behalf of stockholders, we are unable to estimate the total number of beneficial owners of our common stock represented by these holders of record.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declared nor paid cash dividends on our capital stock and we do not expect to declare or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with respect to our equity compensation plans is incorporated by reference to our Proxy Statement for the 2022 Meeting of Stockholders to be filed with the SEC within 120 days of the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171450</wp:posOffset>
            </wp:positionV>
            <wp:extent cx="5349240" cy="44488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49240" cy="444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Upstart Holdings, Inc. under the Securities Act of 1933, as amended, or the Exchange Act.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graph compares the cumulative total return to stockholders on our common stock relative to the cumulative total returns of the Nasdaq Global Select Index and the S&amp;P Information Technology Index. An investment of $100 (with reinvestment of all dividends) is assumed to have been made in our common stock and in each index on December 16, 2020, the date our common stock began trading on the Nasdaq Global Select Market, and its relative performance is tracked through December 31, 2021. The returns shown are based on historical results and are not intended to suggest future performance.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Factors that could cause or contribute to such differences include those identified below and those discussed in the section titled “Risk Factors” and other parts of this Annual Report on Form 10-K. Our historical results are not necessarily indicative of the results that may be expected for any period in the future.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Upstart applies modern data science and technology to the process of underwriting consumer credit. By providing our bank partners with a proprietary AI-based origination platform, we help them originate credit with higher approval rates, lower loss rates and a high degree of automation. As our technology continues to improve and additional banks adopt our platform, consumers benefit from improved access to affordable and frictionless credit.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providing them with an exceptional AI lending platform that they can configure as they originate consumer loans under their own brand, according to their own business and regulatory requirements.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Consumers can obtain Upstart-powered loans in one of two ways: either by referral from Upstart.com to one of our bank partners, or directly through our bank partners’ own websites, where our lending technology and experience is bank-branded. Our direct bank partner channel represents a small but growing portion of our overall volume, and we believe this portion will continue to grow over time as we onboard new bank partners.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bank partners can retain loans that align with their business and risk objectives. For loans that are not retained by our bank partners, we help diversify the funding of these loans to a broad base of institutional investors that invest in Upstart-powered loans. Over the last few years, the percentage of loans funded through our balance sheet has generally decreased, while the percentage of loans purchased by institutional investors has generally increased.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Economic Model</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Upstart’s revenues are primarily earned in the form of two separate usage-based fees, which can be either dollar or percentage based depending on the contractual arrangement. We charge our bank partners a referral fee each time we refer a borrower who obtains a loan. Separately, we charge bank partners a platform fee each time they originate a loan using our platform. These fees are contracted for and charged separately, although they are combined for accounting purposes as they represent a single performance obligation. We do not charge the borrowers on our platform any referral, platform or other similar fees for our loan matching services.</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also charge the holder of the loan (either a bank or institutional investor) an ongoing annualized servicing fee based on the outstanding principal over the lifetime of the loan for ongoing servicing of the loan. In addition, we earn a small portion of our revenue from interest income and gains generated through our securitization programs.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Loans on our platform today are predominantly sourced from Upstart.com. For these loans, we incur variable costs in the form of borrower acquisition costs and borrower verification and servicing costs. Borrower acquisition costs and borrower verification and servicing costs are highly correlated with the Transaction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Number of Loans on our platform have trended upwards on a period-by-period basis. The continued improvements to our level of automation and Conversion Rate achieved through our increasingly sophisticated risk models and our evolving channel mix contribute to improving loan unit economics over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Impact</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Starting in the second half of March 2020, the COVID-19 pandemic impacted origination volumes on our platform. The rapid rise in unemployment in the United States led to a reduction in originations by bank partners and a temporary pause in loan funding from institutional investors and capital markets. These factors collectively resulted in an 86% reduction in the Transaction Volume, Number of Loans and a 73% reduction in revenue in the second quarter of 2020 compared to the first quarter of 2020.</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Beginning in June 2020, origination volumes recovered quickly and have grown since then. For the year ended December 31, 2021, the Transaction Volume, Number of Loans was 1,314,591, representing a 338% increase compared to the Transaction Volume, Number of Loans for the year ended December 31, 2020.</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peak of the COVID-19 pandemic, we made certain operational changes, including temporary reductions in our marketing activities and certain operational expenses. In order to support borrowers suffering from income loss due to the pandemic, Upstart also worked with its bank partners to offer hardship plans that, among other things, allowed affected borrowers to defer loan payments for up to two months. At the peak, 5.6% of borrowers on our platform had enrolled in a hardship program, less than half the rate of online lending industry benchmarks, and 95% of those impacted borrowers eventually exited the hardship program and resumed making loan payments. Due to the strength of our AI models, the COVID-19 pandemic has had a minimal impact on the credit performance of Upstart-powered loans, including those originated prior to the second quarter of 2020.</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Although significant government assistance was provided during the COVID-19 pandemic, the resilience of our bank partner results during this time provides evidence of the benefits that our AI models can offer to bank lending programs. We believe these benefits are even more compelling and valuable during periods of economic downturn.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Improvements to Our AI Models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and Market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Banks play two key roles in Upstart’s ecosystem: funding loans and acquiring new customers. Traditional lenders, such as banks, tend to enjoy among the most efficient sources of funding due to their expansive base of deposits. As they adopt our technology and fund a growing proportion of our platform transactions, offers made to borrowers will typically improve, generally leading to higher conversion rates and faster growth for our platform.</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New bank partners also represent additional acquisition channels through which we can reach and source prospective new borrowers, as these banks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provide funding support for our bank partners, we have built a broad network of institutional investors that can fund Upstart-powered loans through secondary loan purchasing and issuance of pass-through certificates and asset-backed securitizations. This diverse network of capital helps to minimize our reliance on any one funding source. However, any trend towards reduced participation by banks will generally erode the overall competitiveness of the offers on our platform, and any declining trend in the participation of broader institutional investment markets with respect to funding availability for Upstart-powered loans could adversely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Expansion and Innovation</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intend to continue developing new financial products that address a broader set of consumer needs over time. In the third quarter of 2020, we announced our entry into the auto lending market and in April 2021, we acquired Prodigy Software, Inc. or Prodigy, a leader in automotive commerce software solutions. Prodigy provides a modern multi-channel car buying experience, helping dealerships serve consumers with a holistic software solution that integrates legacy systems. In addition to modernizing the car buying experience, Prodigy is helping bring Upstart's AI enabled auto loans to dealerships across the country where the vast majority of auto loans are transacted. In October 2021, we announced the launch of Upstart Auto Retail software, a cloud-based solution that enables dealerships to provide consumers with access to Upstart-powered auto loans by combining Prodigy Software and Upstart intellectual property.</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significant growth opportunities exist to apply our evolving technology to additional segments of credit, such as auto loans, small business loans, small dollar loans, mortgage loans, and beyond. In addition, we aim to serve a broader role of technology enablement for banks, which we believe will seek more comprehensive technology solutions from their suppliers. We will incur expenses and opportunity cost to develop and launch new products. Monetization prospects for new products are uncertain, and costs associated with integrating, developing and marketing new products might not be recovered, which could weigh on our top-line growth and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Macroeconomic Cycles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Economic cycles can impact our financial performance and related metrics, including consumer demand for loans, conversion rates and the interest rates our bank partners and institutional investors are willing to accept. In a potential downturn, we believe consumer lending will generally contract, including the volume transacted on our own platform. However, the performance of Upstart-powered loans through an economic downturn, such as that experienced during the COVID-19 pandemic, will be important in further validating our AI models with banks and institutional investors. If we are able to continue demonstrating the resilience of Upstart-powered loans through future macroeconomic cycles relative to general consumer credit, it could strengthen our competitive positioning as we emerge from such downturns.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and Non-GAAP Financial Metrics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focus on several key operating and Non-GAAP financial metrics to measure the performance of our business and help determine strategic direction. The following presents our key operating and financial metrics: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30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Pr>
          <w:p>
            <w:pPr>
              <w:spacing w:after="0"/>
              <w:rPr>
                <w:sz w:val="20"/>
                <w:szCs w:val="20"/>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7"/>
        </w:trPr>
        <w:tc>
          <w:tcPr>
            <w:tcW w:w="6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Volume, Dollars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2,725,047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3,444,854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11,751,762</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Transaction Volume, Number of Loans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215,122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300,379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1,314,591</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Rate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23.7%</w:t>
            </w:r>
            <w:r>
              <w:rPr>
                <w:rFonts w:ascii="Arial" w:cs="Arial" w:eastAsia="Arial" w:hAnsi="Arial"/>
                <w:sz w:val="23"/>
                <w:szCs w:val="23"/>
                <w:color w:val="auto"/>
                <w:vertAlign w:val="superscript"/>
              </w:rPr>
              <w:t>(1)</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Percentage of Loans Fully Automated</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69%</w:t>
            </w:r>
          </w:p>
        </w:tc>
      </w:tr>
      <w:tr>
        <w:trPr>
          <w:trHeight w:val="216"/>
        </w:trPr>
        <w:tc>
          <w:tcPr>
            <w:tcW w:w="6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100" w:type="dxa"/>
            <w:vAlign w:val="bottom"/>
          </w:tcPr>
          <w:p>
            <w:pPr>
              <w:ind w:left="20"/>
              <w:spacing w:after="0" w:line="230" w:lineRule="exact"/>
              <w:rPr>
                <w:sz w:val="20"/>
                <w:szCs w:val="20"/>
                <w:color w:val="auto"/>
              </w:rPr>
            </w:pPr>
            <w:r>
              <w:rPr>
                <w:rFonts w:ascii="Arial" w:cs="Arial" w:eastAsia="Arial" w:hAnsi="Arial"/>
                <w:sz w:val="18"/>
                <w:szCs w:val="18"/>
                <w:color w:val="auto"/>
              </w:rPr>
              <w:t>Contribution Profit</w:t>
            </w:r>
            <w:r>
              <w:rPr>
                <w:rFonts w:ascii="Arial" w:cs="Arial" w:eastAsia="Arial" w:hAnsi="Arial"/>
                <w:sz w:val="23"/>
                <w:szCs w:val="23"/>
                <w:color w:val="auto"/>
                <w:vertAlign w:val="superscript"/>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48,940</w:t>
            </w:r>
          </w:p>
        </w:tc>
        <w:tc>
          <w:tcPr>
            <w:tcW w:w="5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105,088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397,880</w:t>
            </w:r>
          </w:p>
        </w:tc>
      </w:tr>
      <w:tr>
        <w:trPr>
          <w:trHeight w:val="229"/>
        </w:trPr>
        <w:tc>
          <w:tcPr>
            <w:tcW w:w="61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i w:val="1"/>
                <w:iCs w:val="1"/>
                <w:color w:val="auto"/>
              </w:rPr>
              <w:t>Contribution Margin</w:t>
            </w:r>
            <w:r>
              <w:rPr>
                <w:rFonts w:ascii="Arial" w:cs="Arial" w:eastAsia="Arial" w:hAnsi="Arial"/>
                <w:sz w:val="23"/>
                <w:szCs w:val="23"/>
                <w:i w:val="1"/>
                <w:iCs w:val="1"/>
                <w:color w:val="auto"/>
                <w:vertAlign w:val="superscript"/>
              </w:rPr>
              <w:t>(2)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r>
      <w:tr>
        <w:trPr>
          <w:trHeight w:val="229"/>
        </w:trPr>
        <w:tc>
          <w:tcPr>
            <w:tcW w:w="6100" w:type="dxa"/>
            <w:vAlign w:val="bottom"/>
          </w:tcPr>
          <w:p>
            <w:pPr>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5,595</w:t>
            </w:r>
          </w:p>
        </w:tc>
        <w:tc>
          <w:tcPr>
            <w:tcW w:w="5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31,509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231,946</w:t>
            </w:r>
          </w:p>
        </w:tc>
      </w:tr>
      <w:tr>
        <w:trPr>
          <w:trHeight w:val="230"/>
        </w:trPr>
        <w:tc>
          <w:tcPr>
            <w:tcW w:w="61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i w:val="1"/>
                <w:iCs w:val="1"/>
                <w:color w:val="auto"/>
              </w:rPr>
              <w:t>Adjusted EBITDA Margin</w:t>
            </w:r>
            <w:r>
              <w:rPr>
                <w:rFonts w:ascii="Arial" w:cs="Arial" w:eastAsia="Arial" w:hAnsi="Arial"/>
                <w:sz w:val="23"/>
                <w:szCs w:val="23"/>
                <w:i w:val="1"/>
                <w:iCs w:val="1"/>
                <w:color w:val="auto"/>
                <w:vertAlign w:val="superscript"/>
              </w:rPr>
              <w:t>(2)</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29"/>
        </w:trPr>
        <w:tc>
          <w:tcPr>
            <w:tcW w:w="6100" w:type="dxa"/>
            <w:vAlign w:val="bottom"/>
          </w:tcPr>
          <w:p>
            <w:pPr>
              <w:ind w:left="20"/>
              <w:spacing w:after="0" w:line="230"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3,340</w:t>
            </w:r>
          </w:p>
        </w:tc>
        <w:tc>
          <w:tcPr>
            <w:tcW w:w="5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17,496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224,141</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100" w:type="dxa"/>
            <w:vAlign w:val="bottom"/>
          </w:tcPr>
          <w:p>
            <w:pPr>
              <w:ind w:left="240"/>
              <w:spacing w:after="0" w:line="230" w:lineRule="exact"/>
              <w:rPr>
                <w:sz w:val="20"/>
                <w:szCs w:val="20"/>
                <w:color w:val="auto"/>
              </w:rPr>
            </w:pPr>
            <w:r>
              <w:rPr>
                <w:rFonts w:ascii="Arial" w:cs="Arial" w:eastAsia="Arial" w:hAnsi="Arial"/>
                <w:sz w:val="18"/>
                <w:szCs w:val="18"/>
                <w:color w:val="auto"/>
              </w:rPr>
              <w:t>Basic</w:t>
            </w:r>
            <w:r>
              <w:rPr>
                <w:rFonts w:ascii="Arial" w:cs="Arial" w:eastAsia="Arial" w:hAnsi="Arial"/>
                <w:sz w:val="23"/>
                <w:szCs w:val="23"/>
                <w:color w:val="auto"/>
                <w:vertAlign w:val="superscript"/>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0.23</w:t>
            </w:r>
          </w:p>
        </w:tc>
        <w:tc>
          <w:tcPr>
            <w:tcW w:w="5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2.87</w:t>
            </w:r>
          </w:p>
        </w:tc>
      </w:tr>
      <w:tr>
        <w:trPr>
          <w:trHeight w:val="229"/>
        </w:trPr>
        <w:tc>
          <w:tcPr>
            <w:tcW w:w="61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Diluted</w:t>
            </w:r>
            <w:r>
              <w:rPr>
                <w:rFonts w:ascii="Arial" w:cs="Arial" w:eastAsia="Arial" w:hAnsi="Arial"/>
                <w:sz w:val="23"/>
                <w:szCs w:val="23"/>
                <w:color w:val="auto"/>
                <w:vertAlign w:val="superscript"/>
              </w:rPr>
              <w:t>(2)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6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3" w:lineRule="exact"/>
        <w:rPr>
          <w:sz w:val="20"/>
          <w:szCs w:val="20"/>
          <w:color w:val="auto"/>
        </w:rPr>
      </w:pPr>
    </w:p>
    <w:p>
      <w:pPr>
        <w:jc w:val="both"/>
        <w:ind w:left="500" w:hanging="492"/>
        <w:spacing w:after="0" w:line="260" w:lineRule="auto"/>
        <w:tabs>
          <w:tab w:leader="none" w:pos="492"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the third quarter of 2021, we modified our calculation of Conversion Rate to remove what we believe to be fraudulent loan requests from the total number of rate inquiries received to better reflect actual borrower behavior. Using the prior methodology for calculating Conversion Rate, which did not exclude estimated fraudulent loan requests, our Conversion Rates for the year ended December 31, 2021 would have been 19.1%. The impact of this change in calculating our Conversion Rate for prior years is insignificant.</w:t>
      </w:r>
    </w:p>
    <w:p>
      <w:pPr>
        <w:ind w:left="500" w:hanging="492"/>
        <w:spacing w:after="0" w:line="255" w:lineRule="auto"/>
        <w:tabs>
          <w:tab w:leader="none" w:pos="492"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 non-GAAP financial measure. See the section titled “</w:t>
      </w:r>
      <w:r>
        <w:rPr>
          <w:rFonts w:ascii="Arial" w:cs="Arial" w:eastAsia="Arial" w:hAnsi="Arial"/>
          <w:sz w:val="14"/>
          <w:szCs w:val="14"/>
          <w:i w:val="1"/>
          <w:iCs w:val="1"/>
          <w:color w:val="auto"/>
        </w:rPr>
        <w:t>Management’s Discussion and Analysis of Financial Condition and Results of Operations—Reconciliation of Non-GAAP Financial Measures</w:t>
      </w:r>
      <w:r>
        <w:rPr>
          <w:rFonts w:ascii="Arial" w:cs="Arial" w:eastAsia="Arial" w:hAnsi="Arial"/>
          <w:sz w:val="14"/>
          <w:szCs w:val="14"/>
          <w:color w:val="auto"/>
        </w:rPr>
        <w:t>” for further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Volume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define Transaction Volume, Dollars as the total principal of loans transacted on our platform between a borrower and the originating bank during the period presented. We define Transaction Volume, Number of Loans as the number of loans facilitated on our platform between a borrower and the originating bank during the period presented. We believe these metrics are good proxies for our overall scale and reach as a platform.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Rate</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define Conversion Rate as the Transaction Volume, Number of Loans in a period divided by the number of rate inquiries received that we estimate to be legitimate, which we record when a borrower requests a loan offer on our platform. Until June 30, 2021, Conversion Rate considered all rate inquiries received on our platform. In the third quarter of 2021, we experienced a large and coordinated fraud attack. While the attack had no significant impact on our financial results, our borrower funnel conversion metrics were distorted by the volume of unsuccessful attempts to access loans. As a result, we modified our calculation of Conversion Rate beginning in the third quarter of 2021 to remove what we believe to be fraudulent rate inquiries from the total number of rate inquiries received to better reflect actual borrower behavior.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bank partners that have made our offers more competitive. Our ability to continue to improve our Conversion Rate depends in part on our ability to continue to improve our AI models and Percentage of Loans Fully Automated and the mix of marketing channels in any given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Percentage of Loans Fully Automated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driver of our Contribution Margin and operating efficiency is the Percentage of Loans Fully Automated, which is defined as the total number of loans in a given period originated end-to-end (from initial rate request to final funding) with no human involvement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the Percentage of Loans Fully Automated to level off and remain relatively stable in the long term. However, the expansion of our loan offerings beyond unsecured personal loans, including auto loans, may cause fluctuations of such percentage from quarter to quarter depending on the loan offering mix.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Profit and Contribution Margin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derive Contribution Profit, we subtract from revenue from fees, net from our borrower acquisition costs as well as our borrower verification and servicing costs. To calculate Contribution Margin we divide Contribution Profit by revenue from fees, net.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calculation of Contribution Profit and Contribution Margin: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34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w w:val="91"/>
              </w:rPr>
              <w:t>Year Ended December 31,</w:t>
            </w:r>
          </w:p>
        </w:tc>
        <w:tc>
          <w:tcPr>
            <w:tcW w:w="134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7"/>
        </w:trPr>
        <w:tc>
          <w:tcPr>
            <w:tcW w:w="5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Referral fees, 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90,672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133,425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497,996</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Platform fees, net</w:t>
            </w:r>
          </w:p>
        </w:tc>
        <w:tc>
          <w:tcPr>
            <w:tcW w:w="3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53,383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66,832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228,165</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and other fees, net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15,792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28,343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75,114</w:t>
            </w:r>
          </w:p>
        </w:tc>
      </w:tr>
      <w:tr>
        <w:trPr>
          <w:trHeight w:val="223"/>
        </w:trPr>
        <w:tc>
          <w:tcPr>
            <w:tcW w:w="5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Revenue from fees, net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159,847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228,600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801,275</w:t>
            </w:r>
          </w:p>
        </w:tc>
      </w:tr>
      <w:tr>
        <w:trPr>
          <w:trHeight w:val="223"/>
        </w:trPr>
        <w:tc>
          <w:tcPr>
            <w:tcW w:w="59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Borrower acquisition costs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(89,569)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(91,700)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(307,613)</w:t>
            </w:r>
          </w:p>
        </w:tc>
      </w:tr>
      <w:tr>
        <w:trPr>
          <w:trHeight w:val="230"/>
        </w:trPr>
        <w:tc>
          <w:tcPr>
            <w:tcW w:w="59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Borrower verification and servicing costs</w:t>
            </w:r>
            <w:r>
              <w:rPr>
                <w:rFonts w:ascii="Arial" w:cs="Arial" w:eastAsia="Arial" w:hAnsi="Arial"/>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(21,338)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(31,812)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(95,782)</w:t>
            </w:r>
          </w:p>
        </w:tc>
      </w:tr>
      <w:tr>
        <w:trPr>
          <w:trHeight w:val="223"/>
        </w:trPr>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direct expenses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(110,907)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(123,512)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(403,395)</w:t>
            </w:r>
          </w:p>
        </w:tc>
      </w:tr>
      <w:tr>
        <w:trPr>
          <w:trHeight w:val="223"/>
        </w:trPr>
        <w:tc>
          <w:tcPr>
            <w:tcW w:w="5960" w:type="dxa"/>
            <w:vAlign w:val="bottom"/>
          </w:tcPr>
          <w:p>
            <w:pPr>
              <w:ind w:left="160"/>
              <w:spacing w:after="0"/>
              <w:rPr>
                <w:sz w:val="20"/>
                <w:szCs w:val="20"/>
                <w:color w:val="auto"/>
              </w:rPr>
            </w:pPr>
            <w:r>
              <w:rPr>
                <w:rFonts w:ascii="Arial" w:cs="Arial" w:eastAsia="Arial" w:hAnsi="Arial"/>
                <w:sz w:val="18"/>
                <w:szCs w:val="18"/>
                <w:color w:val="auto"/>
              </w:rPr>
              <w:t>Contribution Profit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48,940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105,088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397,880</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Contribution Margin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304"/>
        </w:trPr>
        <w:tc>
          <w:tcPr>
            <w:tcW w:w="5960" w:type="dxa"/>
            <w:vAlign w:val="bottom"/>
          </w:tcPr>
          <w:p>
            <w:pPr>
              <w:spacing w:after="0"/>
              <w:rPr>
                <w:sz w:val="20"/>
                <w:szCs w:val="20"/>
                <w:color w:val="auto"/>
              </w:rPr>
            </w:pPr>
            <w:r>
              <w:rPr>
                <w:rFonts w:ascii="Arial" w:cs="Arial" w:eastAsia="Arial" w:hAnsi="Arial"/>
                <w:sz w:val="18"/>
                <w:szCs w:val="18"/>
                <w:color w:val="auto"/>
              </w:rPr>
              <w:t>_______</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ind w:left="500" w:hanging="492"/>
        <w:spacing w:after="0" w:line="241" w:lineRule="auto"/>
        <w:tabs>
          <w:tab w:leader="none" w:pos="492" w:val="left"/>
        </w:tabs>
        <w:numPr>
          <w:ilvl w:val="0"/>
          <w:numId w:val="30"/>
        </w:numPr>
        <w:rPr>
          <w:rFonts w:ascii="Arial" w:cs="Arial" w:eastAsia="Arial" w:hAnsi="Arial"/>
          <w:sz w:val="14"/>
          <w:szCs w:val="14"/>
          <w:color w:val="auto"/>
        </w:rPr>
      </w:pPr>
      <w:r>
        <w:rPr>
          <w:rFonts w:ascii="Arial" w:cs="Arial" w:eastAsia="Arial" w:hAnsi="Arial"/>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jc w:val="both"/>
        <w:ind w:left="500" w:hanging="492"/>
        <w:spacing w:after="0" w:line="248" w:lineRule="auto"/>
        <w:tabs>
          <w:tab w:leader="none" w:pos="492" w:val="left"/>
        </w:tabs>
        <w:numPr>
          <w:ilvl w:val="0"/>
          <w:numId w:val="30"/>
        </w:numPr>
        <w:rPr>
          <w:rFonts w:ascii="Arial" w:cs="Arial" w:eastAsia="Arial" w:hAnsi="Arial"/>
          <w:sz w:val="14"/>
          <w:szCs w:val="14"/>
          <w:color w:val="auto"/>
        </w:rPr>
      </w:pPr>
      <w:r>
        <w:rPr>
          <w:rFonts w:ascii="Arial" w:cs="Arial" w:eastAsia="Arial" w:hAnsi="Arial"/>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2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Management’s Discussion and Analysis of Financial Condition and Results of Operations—Reconciliation of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r>
        <w:rPr>
          <w:rFonts w:ascii="Arial" w:cs="Arial" w:eastAsia="Arial" w:hAnsi="Arial"/>
          <w:sz w:val="18"/>
          <w:szCs w:val="18"/>
          <w:color w:val="auto"/>
        </w:rPr>
        <w:t>” for a reconciliation of income (loss) from operations to Contribution Profit.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calculate Adjusted EBITDA as net income (loss) attributable to Upstart Holdings, Inc. common stockholders adjusted to exclude stock-based compensation expense and certain payroll tax expenses, depreciation and amortization, expense on warrants and convertible notes, net, provision for income taxes and acquisition-related costs. We calculate Adjusted EBITDA Margin as Adjusted EBITDA divided by total revenue. Adjusted EBITDA and Adjusted EBITDA Margin includes interest expense from corporate debt and warehouse credit facilities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is incurred in the course of earning corresponding interest income. See the section titled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Operations—Reconciliation of Non-GAAP Financial Measures</w:t>
      </w:r>
      <w:r>
        <w:rPr>
          <w:rFonts w:ascii="Arial" w:cs="Arial" w:eastAsia="Arial" w:hAnsi="Arial"/>
          <w:sz w:val="18"/>
          <w:szCs w:val="18"/>
          <w:color w:val="auto"/>
        </w:rPr>
        <w:t>” for a reconciliation of net income (loss) attributable to Upstart Holdings,</w:t>
      </w:r>
      <w:r>
        <w:rPr>
          <w:rFonts w:ascii="Arial" w:cs="Arial" w:eastAsia="Arial" w:hAnsi="Arial"/>
          <w:sz w:val="18"/>
          <w:szCs w:val="18"/>
          <w:i w:val="1"/>
          <w:iCs w:val="1"/>
          <w:color w:val="auto"/>
        </w:rPr>
        <w:t xml:space="preserve"> </w:t>
      </w:r>
      <w:r>
        <w:rPr>
          <w:rFonts w:ascii="Arial" w:cs="Arial" w:eastAsia="Arial" w:hAnsi="Arial"/>
          <w:sz w:val="18"/>
          <w:szCs w:val="18"/>
          <w:color w:val="auto"/>
        </w:rPr>
        <w:t>Inc. common stockholders to Adjusted EBITDA and Adjusted EBITDA Margin.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Net Income Per Share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define Adjusted Net Income as net income (loss) exclusive of stock-based compensation expense and certain payroll tax expenses and acquisition-related costs. Adjusted Net Income Per Share is calculated by dividing Adjusted Net Income Per Share by the weighted-average common shares outstanding. See the section titled “</w:t>
      </w:r>
      <w:r>
        <w:rPr>
          <w:rFonts w:ascii="Arial" w:cs="Arial" w:eastAsia="Arial" w:hAnsi="Arial"/>
          <w:sz w:val="18"/>
          <w:szCs w:val="18"/>
          <w:i w:val="1"/>
          <w:iCs w:val="1"/>
          <w:color w:val="auto"/>
        </w:rPr>
        <w:t>Management’s Discussion and Analysis of Financial Condition and Results of Operations—Reconciliation of Non-GAAP Financial Measures</w:t>
      </w:r>
      <w:r>
        <w:rPr>
          <w:rFonts w:ascii="Arial" w:cs="Arial" w:eastAsia="Arial" w:hAnsi="Arial"/>
          <w:sz w:val="18"/>
          <w:szCs w:val="18"/>
          <w:color w:val="auto"/>
        </w:rPr>
        <w:t>” for a reconciliation of net income (loss) attributable to Upstart Holdings, Inc. common stockholders to Adjusted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and Adjusted Net Income per Share.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Platform and Referral Fees, Net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charge our bank partners platform fees in exchange for usage of our AI lending platform, which includes collection of loan application data, underwriting of credit risk, verification and fraud detection, and the delivery of electronic loan offers and associated documentation. We also charge referral fees to our bank partners in exchange for the referral of borrowers from Upstart.com. Referral fees are charged to bank partners on a per borrower basis upon origination of a loan. These fees are charged net of any fees the bank partner charges Upstart. Upstart pays these bank partners a one-time loan premium fee upon completion of the minimum holding periods. Upstart also pays bank partners monthly loan trailing fees based on the amount and timing of principal and interest payments made by borrowers of the underlying loans. See “</w:t>
      </w:r>
      <w:r>
        <w:rPr>
          <w:rFonts w:ascii="Arial" w:cs="Arial" w:eastAsia="Arial" w:hAnsi="Arial"/>
          <w:sz w:val="16"/>
          <w:szCs w:val="16"/>
          <w:i w:val="1"/>
          <w:iCs w:val="1"/>
          <w:color w:val="auto"/>
        </w:rPr>
        <w:t>Note 2. Revenue</w:t>
      </w:r>
      <w:r>
        <w:rPr>
          <w:rFonts w:ascii="Arial" w:cs="Arial" w:eastAsia="Arial" w:hAnsi="Arial"/>
          <w:sz w:val="16"/>
          <w:szCs w:val="16"/>
          <w:color w:val="auto"/>
        </w:rPr>
        <w:t>” to our consolidated financial statements in Part II, Item 8 of this Annual Report on Form 10-K for more information about loan premium fees and trailing fees.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Servicing and Other Fees, Net</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Servicing fees are calculated as a percentage of outstanding principal and are charged monthly to any entities holding loans facilitated through our platform, to compensate us for activities we perform throughout the loan term, including collection, processing and reconciliations of payments received, investor reporting and borrower customer support. Servicing fees are recorded net of any gains, losses or changes to fair value recognized in the underlying servicing rights and obligations, which are carried as assets and liabilities on our consolidated balance sheets. Upstart currently acts as loan-servicer for substantially all outstanding loans facilitated through the Upstart platform. Borrower payment collections for loans that are more than 30 days past due or charged off are generally outsourced to third-party collection agencies. Upstart charges bank partners and institutional investors for collection agency fees related to their outstanding loan portfolio. Upstart also charges fees for the establishment and facilitation of Upstart co-sponsored securitization transactions as well as receives certain ancillary fees on a per transaction basis inclusive of late payment fees and ACH fail fees.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income and fair value adjustments, net is comprised of interest income, interest expense and net changes in the fair value of financial instruments held on our consolidated balance sheets as part of our ongoing operating activities, excluding loan servicing assets and liabilities. Interest income and fair value adjustments, net also includes income (loss) from our capital market programs and realized gain (loss) on the sale of loans. Interest income and fair value adjustments, net also historically included the full amount of net interest income and expense incurred by consolidated variable interest entities, or VIEs, the majority of which has been historically allocated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third parties in the line item net loss attributable to noncontrolling interests on our consolidated statements of operations and comprehensive income (loss). Interest income and fair value adjustments, net can fluctuate based on the fair value of financial instruments held on our consolidated balance sheets. This amount has historically been a small percentage of our total revenue, and we do not manage our business with a focus on growing this component of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increase in absolute dollars and may fluctuate as a percentage of our total revenue from period to period as we hire additional sales and marketing personnel, increase our marketing activities and build greater brand awareness.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Operations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 and increase the Transaction Volume, Number of Loans.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 and Product Development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Administrative and Other</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Other income (expense) primarily consists of dividend income earned on our unrestricted cash balances. Other income (expense) is recognized in the period earned. In addition, during the year ended December 31, 2021, we voluntarily repaid the funds we received under the Paycheck Protection Program, or PPP, in the year ended December 31, 2020. For additional details, refer to </w:t>
      </w:r>
      <w:r>
        <w:rPr>
          <w:rFonts w:ascii="Arial" w:cs="Arial" w:eastAsia="Arial" w:hAnsi="Arial"/>
          <w:sz w:val="18"/>
          <w:szCs w:val="18"/>
          <w:i w:val="1"/>
          <w:iCs w:val="1"/>
          <w:color w:val="auto"/>
        </w:rPr>
        <w:t>“Note 1. Description of Business and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of our consolidated financial statements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on Warrants and Convertible Notes, Net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Expense on warrants and convertible notes, net is primarily comprised of the net changes in the fair value of our common and convertible preferred stock warrant liabilities for the year ended December 31, 2020 and interest expense on our convertible notes for the year ended December 31, 2021.</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6300" w:type="dxa"/>
            <w:vAlign w:val="bottom"/>
            <w:gridSpan w:val="3"/>
          </w:tcPr>
          <w:p>
            <w:pPr>
              <w:ind w:left="4540"/>
              <w:spacing w:after="0"/>
              <w:rPr>
                <w:sz w:val="20"/>
                <w:szCs w:val="20"/>
                <w:color w:val="auto"/>
              </w:rPr>
            </w:pPr>
            <w:r>
              <w:rPr>
                <w:rFonts w:ascii="Arial" w:cs="Arial" w:eastAsia="Arial" w:hAnsi="Arial"/>
                <w:sz w:val="18"/>
                <w:szCs w:val="18"/>
                <w:b w:val="1"/>
                <w:bCs w:val="1"/>
                <w:color w:val="auto"/>
                <w:w w:val="93"/>
              </w:rPr>
              <w:t>Results of Operations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4"/>
                <w:szCs w:val="24"/>
                <w:color w:val="auto"/>
              </w:rPr>
            </w:pPr>
          </w:p>
        </w:tc>
        <w:tc>
          <w:tcPr>
            <w:tcW w:w="7600" w:type="dxa"/>
            <w:vAlign w:val="bottom"/>
            <w:gridSpan w:val="5"/>
          </w:tcPr>
          <w:p>
            <w:pPr>
              <w:jc w:val="right"/>
              <w:ind w:right="740"/>
              <w:spacing w:after="0"/>
              <w:rPr>
                <w:sz w:val="20"/>
                <w:szCs w:val="20"/>
                <w:color w:val="auto"/>
              </w:rPr>
            </w:pPr>
            <w:r>
              <w:rPr>
                <w:rFonts w:ascii="Arial" w:cs="Arial" w:eastAsia="Arial" w:hAnsi="Arial"/>
                <w:sz w:val="18"/>
                <w:szCs w:val="18"/>
                <w:color w:val="auto"/>
                <w:w w:val="96"/>
              </w:rPr>
              <w:t>The following table summarizes our historical consolidated statements of operations data:</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40" w:type="dxa"/>
            <w:vAlign w:val="bottom"/>
            <w:gridSpan w:val="5"/>
          </w:tcPr>
          <w:p>
            <w:pPr>
              <w:ind w:left="1040"/>
              <w:spacing w:after="0"/>
              <w:rPr>
                <w:sz w:val="20"/>
                <w:szCs w:val="20"/>
                <w:color w:val="auto"/>
              </w:rPr>
            </w:pPr>
            <w:r>
              <w:rPr>
                <w:rFonts w:ascii="Arial" w:cs="Arial" w:eastAsia="Arial" w:hAnsi="Arial"/>
                <w:sz w:val="18"/>
                <w:szCs w:val="18"/>
                <w:b w:val="1"/>
                <w:bCs w:val="1"/>
                <w:color w:val="auto"/>
                <w:w w:val="89"/>
              </w:rPr>
              <w:t>Year Ended December 31,</w:t>
            </w: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Revenue from fees,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159,847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228,600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801,275</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and fair value adjustments, net</w:t>
            </w:r>
          </w:p>
        </w:tc>
        <w:tc>
          <w:tcPr>
            <w:tcW w:w="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47,314</w:t>
            </w: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57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848,589</w:t>
            </w:r>
          </w:p>
        </w:tc>
        <w:tc>
          <w:tcPr>
            <w:tcW w:w="0" w:type="dxa"/>
            <w:vAlign w:val="bottom"/>
          </w:tcPr>
          <w:p>
            <w:pPr>
              <w:spacing w:after="0"/>
              <w:rPr>
                <w:sz w:val="1"/>
                <w:szCs w:val="1"/>
                <w:color w:val="auto"/>
              </w:rPr>
            </w:pPr>
          </w:p>
        </w:tc>
      </w:tr>
      <w:tr>
        <w:trPr>
          <w:trHeight w:val="209"/>
        </w:trPr>
        <w:tc>
          <w:tcPr>
            <w:tcW w:w="596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99,659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333,453</w:t>
            </w: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operations</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117,579</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Engineering and product development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133,999</w:t>
            </w: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5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administrative, and other</w:t>
            </w:r>
          </w:p>
        </w:tc>
        <w:tc>
          <w:tcPr>
            <w:tcW w:w="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122,677</w:t>
            </w: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57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707,708</w:t>
            </w:r>
          </w:p>
        </w:tc>
        <w:tc>
          <w:tcPr>
            <w:tcW w:w="0" w:type="dxa"/>
            <w:vAlign w:val="bottom"/>
          </w:tcPr>
          <w:p>
            <w:pPr>
              <w:spacing w:after="0"/>
              <w:rPr>
                <w:sz w:val="1"/>
                <w:szCs w:val="1"/>
                <w:color w:val="auto"/>
              </w:rPr>
            </w:pPr>
          </w:p>
        </w:tc>
      </w:tr>
      <w:tr>
        <w:trPr>
          <w:trHeight w:val="22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140,881</w:t>
            </w:r>
          </w:p>
        </w:tc>
        <w:tc>
          <w:tcPr>
            <w:tcW w:w="0" w:type="dxa"/>
            <w:vAlign w:val="bottom"/>
          </w:tcPr>
          <w:p>
            <w:pPr>
              <w:spacing w:after="0"/>
              <w:rPr>
                <w:sz w:val="1"/>
                <w:szCs w:val="1"/>
                <w:color w:val="auto"/>
              </w:rPr>
            </w:pPr>
          </w:p>
        </w:tc>
      </w:tr>
      <w:tr>
        <w:trPr>
          <w:trHeight w:val="229"/>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 on warrants and convertible notes, net</w:t>
            </w:r>
          </w:p>
        </w:tc>
        <w:tc>
          <w:tcPr>
            <w:tcW w:w="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Net income (loss) before income taxes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133,731</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Net income (loss) before attribution to noncontrolling interests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135,443</w:t>
            </w: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gridSpan w:val="2"/>
          </w:tcPr>
          <w:p>
            <w:pPr>
              <w:ind w:left="20"/>
              <w:spacing w:after="0"/>
              <w:rPr>
                <w:sz w:val="20"/>
                <w:szCs w:val="20"/>
                <w:color w:val="auto"/>
              </w:rPr>
            </w:pPr>
            <w:r>
              <w:rPr>
                <w:rFonts w:ascii="Arial" w:cs="Arial" w:eastAsia="Arial" w:hAnsi="Arial"/>
                <w:sz w:val="18"/>
                <w:szCs w:val="18"/>
                <w:color w:val="auto"/>
                <w:w w:val="96"/>
              </w:rPr>
              <w:t>Net income (loss) attributable to Upstart Holdings, Inc.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135,443</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9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5700" w:type="dxa"/>
            <w:vAlign w:val="bottom"/>
          </w:tcPr>
          <w:p>
            <w:pPr>
              <w:ind w:left="220"/>
              <w:spacing w:after="0"/>
              <w:rPr>
                <w:sz w:val="20"/>
                <w:szCs w:val="20"/>
                <w:color w:val="auto"/>
              </w:rPr>
            </w:pPr>
            <w:r>
              <w:rPr>
                <w:rFonts w:ascii="Arial" w:cs="Arial" w:eastAsia="Arial" w:hAnsi="Arial"/>
                <w:sz w:val="14"/>
                <w:szCs w:val="14"/>
                <w:color w:val="auto"/>
              </w:rPr>
              <w:t>Includes stock-based compensation expense as follows: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6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0" w:type="dxa"/>
            <w:vAlign w:val="bottom"/>
            <w:tcBorders>
              <w:bottom w:val="single" w:sz="8" w:color="CCEEFF"/>
            </w:tcBorders>
          </w:tcPr>
          <w:p>
            <w:pPr>
              <w:spacing w:after="0"/>
              <w:rPr>
                <w:sz w:val="19"/>
                <w:szCs w:val="19"/>
                <w:color w:val="auto"/>
              </w:rPr>
            </w:pPr>
          </w:p>
        </w:tc>
        <w:tc>
          <w:tcPr>
            <w:tcW w:w="57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Customer operations</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39,191</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General, administrative, and other</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21,685</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73,186</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 forth our revenue from fees, net in the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2"/>
                <w:szCs w:val="22"/>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 to 2021</w:t>
            </w:r>
          </w:p>
        </w:tc>
      </w:tr>
      <w:tr>
        <w:trPr>
          <w:trHeight w:val="223"/>
        </w:trPr>
        <w:tc>
          <w:tcPr>
            <w:tcW w:w="6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Platform and referral fees,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726,161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r>
      <w:tr>
        <w:trPr>
          <w:trHeight w:val="23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Servicing and other fees, net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75,114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165 %</w:t>
            </w:r>
          </w:p>
        </w:tc>
      </w:tr>
      <w:tr>
        <w:trPr>
          <w:trHeight w:val="248"/>
        </w:trPr>
        <w:tc>
          <w:tcPr>
            <w:tcW w:w="6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 from fees,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801,275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251 %</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from fees, net increased $572.7 million, or 251%, in the year ended December 31, 2021, compared to the prior year, which included an increase of $525.9 million in revenue from platform and referral fees, net and an increase of $46.8 million in servicing and other fees, net. We recognized $23.6 million of loan premium fees and loan trailing fees as contra-revenue within platform and referral fees, net in the year ended December 31, 2021, which was an increase from $8.3 million recognized in prior year. The increase of the platform and referral fees, net was primarily driven by a 338% increase in the Transaction Volume, Number of Loans from 300,379 in the year ended December 31, 2020 to 1,314,591 in 2021 as well as an increase in prices of our services in response to the market conditions caused by the COVID-19 pandemic. The increase in the servicing and other fees, net was primarily due to an 114% increase in the outstanding principal of serviced loans, as well as a downward revaluation to the net liability of our servicing obligation.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97"/>
        </w:trPr>
        <w:tc>
          <w:tcPr>
            <w:tcW w:w="6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9"/>
              </w:rPr>
              <w:t>Year Ended December 31,</w:t>
            </w:r>
          </w:p>
        </w:tc>
        <w:tc>
          <w:tcPr>
            <w:tcW w:w="100" w:type="dxa"/>
            <w:vAlign w:val="bottom"/>
          </w:tcPr>
          <w:p>
            <w:pPr>
              <w:spacing w:after="0"/>
              <w:rPr>
                <w:sz w:val="24"/>
                <w:szCs w:val="24"/>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 to 2021</w:t>
            </w:r>
          </w:p>
        </w:tc>
      </w:tr>
      <w:tr>
        <w:trPr>
          <w:trHeight w:val="263"/>
        </w:trPr>
        <w:tc>
          <w:tcPr>
            <w:tcW w:w="64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644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color w:val="auto"/>
              </w:rPr>
              <w:t>Operating entities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64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19,582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19,467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6440" w:type="dxa"/>
            <w:vAlign w:val="bottom"/>
          </w:tcPr>
          <w:p>
            <w:pPr>
              <w:ind w:left="160"/>
              <w:spacing w:after="0"/>
              <w:rPr>
                <w:sz w:val="20"/>
                <w:szCs w:val="20"/>
                <w:color w:val="auto"/>
              </w:rPr>
            </w:pPr>
            <w:r>
              <w:rPr>
                <w:rFonts w:ascii="Arial" w:cs="Arial" w:eastAsia="Arial" w:hAnsi="Arial"/>
                <w:sz w:val="18"/>
                <w:szCs w:val="18"/>
                <w:color w:val="auto"/>
              </w:rPr>
              <w:t>Fair value adjustments,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29,714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390 %</w:t>
            </w:r>
          </w:p>
        </w:tc>
      </w:tr>
      <w:tr>
        <w:trPr>
          <w:trHeight w:val="230"/>
        </w:trPr>
        <w:tc>
          <w:tcPr>
            <w:tcW w:w="6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consolidated entities</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64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30"/>
        </w:trPr>
        <w:tc>
          <w:tcPr>
            <w:tcW w:w="6440" w:type="dxa"/>
            <w:vAlign w:val="bottom"/>
          </w:tcPr>
          <w:p>
            <w:pPr>
              <w:ind w:left="160"/>
              <w:spacing w:after="0"/>
              <w:rPr>
                <w:sz w:val="20"/>
                <w:szCs w:val="20"/>
                <w:color w:val="auto"/>
              </w:rPr>
            </w:pPr>
            <w:r>
              <w:rPr>
                <w:rFonts w:ascii="Arial" w:cs="Arial" w:eastAsia="Arial" w:hAnsi="Arial"/>
                <w:sz w:val="18"/>
                <w:szCs w:val="18"/>
                <w:color w:val="auto"/>
              </w:rPr>
              <w:t>Fair value adjustments,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107 %</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Company: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64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20,634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30"/>
        </w:trPr>
        <w:tc>
          <w:tcPr>
            <w:tcW w:w="6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Fair value adjustments,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29,954</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321 %</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882 %</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7"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 of balances recognized by entities participating in our ongoing operating activities, including warehouse entities.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of balances recognized by other entities, including securitization entities.</w:t>
      </w:r>
    </w:p>
    <w:p>
      <w:pPr>
        <w:spacing w:after="0" w:line="23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year ended December 31, 2021, interest income and fair value adjustments, net increased $42.5 million, or 882%, compared to the prior year. The increase was driven by a $43.5 million increase in fair value adjustments, net partially offset by a $5.8 million decrease in interest income. The increase of the fair value adjustments was primarily attributable to $30.2 million increase of income from capital market programs and $9.5 million increase in realized gains on the sale of loans compared to the prior year. Interest income and interest expense recognized by other consolidated entities decreased due to the deconsolidation of the 2018-1 securitization which occurred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24"/>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97"/>
        </w:trPr>
        <w:tc>
          <w:tcPr>
            <w:tcW w:w="6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2020 to 2021</w:t>
            </w:r>
          </w:p>
        </w:tc>
      </w:tr>
      <w:tr>
        <w:trPr>
          <w:trHeight w:val="263"/>
        </w:trPr>
        <w:tc>
          <w:tcPr>
            <w:tcW w:w="65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change</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333,453</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235%</w:t>
            </w:r>
          </w:p>
        </w:tc>
      </w:tr>
    </w:tbl>
    <w:p>
      <w:pPr>
        <w:spacing w:after="0" w:line="2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by $233.8 million, or 235%, in the year ended December 31, 2021 compared to the prior year. The increase was primarily due to a $215.9 million increase in advertising and other traffic acquisition cost, as well as $16.5 million increase in payroll and other personnel-related expenses driven by increased headcount. As a percentage of total revenue, sales and marketing expenses decreased from 43% to 39%.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Customer Operations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13"/>
        </w:trPr>
        <w:tc>
          <w:tcPr>
            <w:tcW w:w="6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2020 to 2021</w:t>
            </w:r>
          </w:p>
        </w:tc>
      </w:tr>
      <w:tr>
        <w:trPr>
          <w:trHeight w:val="263"/>
        </w:trPr>
        <w:tc>
          <w:tcPr>
            <w:tcW w:w="65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change</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$117,579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213%</w:t>
            </w:r>
          </w:p>
        </w:tc>
      </w:tr>
    </w:tbl>
    <w:p>
      <w:pPr>
        <w:spacing w:after="0" w:line="283"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8"/>
          <w:szCs w:val="18"/>
          <w:color w:val="auto"/>
        </w:rPr>
        <w:t>Customer operations expenses increased by $80.0 million, or 213%, in the year ended December 31, 2021, compared to the prior year. The increase was primarily due to an increase of $47.6 million in payroll and other personnel-related expenses due to an increase in headcount as well as increased spending of $28.3 million in information verification and platform operations due to a growing volume of loans facilitated through our platform. As a percentage of total revenue, customer operations expenses decreased from 16% to 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Engineering and Product Development</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13"/>
        </w:trPr>
        <w:tc>
          <w:tcPr>
            <w:tcW w:w="6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2020 to 2021</w:t>
            </w:r>
          </w:p>
        </w:tc>
      </w:tr>
      <w:tr>
        <w:trPr>
          <w:trHeight w:val="263"/>
        </w:trPr>
        <w:tc>
          <w:tcPr>
            <w:tcW w:w="65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change</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133,999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245%</w:t>
            </w:r>
          </w:p>
        </w:tc>
      </w:tr>
    </w:tbl>
    <w:p>
      <w:pPr>
        <w:spacing w:after="0" w:line="2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Engineering and product development expenses increased by $95.2 million, or 245%, for the year ended December 31, 2021, compared to the prior year. The increase was primarily due to an increase of $84.2 million in payroll and other personnel-related expenses driven by an increase in headcount, as well as a $10.7 million increase in spending on consultants and other engineering support services. As a percentage of total revenue, engineering and product development expenses decreased from 17% to 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General, Administrative, and Other</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13"/>
        </w:trPr>
        <w:tc>
          <w:tcPr>
            <w:tcW w:w="6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2020 to 2021</w:t>
            </w:r>
          </w:p>
        </w:tc>
      </w:tr>
      <w:tr>
        <w:trPr>
          <w:trHeight w:val="263"/>
        </w:trPr>
        <w:tc>
          <w:tcPr>
            <w:tcW w:w="65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change</w:t>
            </w:r>
          </w:p>
        </w:tc>
      </w:tr>
      <w:tr>
        <w:trPr>
          <w:trHeight w:val="223"/>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122,677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169%</w:t>
            </w:r>
          </w:p>
        </w:tc>
      </w:tr>
    </w:tbl>
    <w:p>
      <w:pPr>
        <w:spacing w:after="0" w:line="32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General, administrative, and other expenses increased by $77.1 million, or 169%, for the year ended December 31, 2021, compared to the prior year. The increase was primarily due to an increase of $40.7 million in payroll and personnel-related costs as a result of increased headcount; an increase of $9.1 million in office and administrative operation related expenses; an increase of $9.0 million in professional fees; and an increase of $6.3 million in insurance costs. As a percentage of total revenue, general, administrative, and other expenses decreased from 20% to 14%.</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13"/>
        </w:trPr>
        <w:tc>
          <w:tcPr>
            <w:tcW w:w="6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2020 to 2021</w:t>
            </w:r>
          </w:p>
        </w:tc>
      </w:tr>
      <w:tr>
        <w:trPr>
          <w:trHeight w:val="263"/>
        </w:trPr>
        <w:tc>
          <w:tcPr>
            <w:tcW w:w="64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change</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bl>
    <w:p>
      <w:pPr>
        <w:spacing w:after="0" w:line="3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year ended December 31, 2021, other income (expense) decreased by $10.7 million, or 193%, compared to the prior year. The decrease was primarily due to the receipt of funds under the PPP loan totaling $5.3 million in the year ended December 31, 2020 coupled with our voluntary repayment of proceeds received from the PPP loan during year ended December 31, 2021. We used the loan to mitigate the impact of the COVID-19 pandemic on our business in Q2 2020 and fully complied with the forgiveness requirements, including maintaining full employment through the significant transaction volume decline. Our business experienced a strong recovery in the second half of 2020 and continued growing in the first half of 2021, which brought us to a conclusion that the funds received as part of the program were no longer needed for their original intent and should be repaid. We recognized the loan principal repayment as a reduction to other income (expense) totaling $5.3 million.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Expense on Warrants and Convertible Notes, Net</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13"/>
        </w:trPr>
        <w:tc>
          <w:tcPr>
            <w:tcW w:w="6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2020 to 2021</w:t>
            </w:r>
          </w:p>
        </w:tc>
      </w:tr>
      <w:tr>
        <w:trPr>
          <w:trHeight w:val="263"/>
        </w:trPr>
        <w:tc>
          <w:tcPr>
            <w:tcW w:w="64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 change</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on warrants and convertible notes,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bl>
    <w:p>
      <w:pPr>
        <w:spacing w:after="0" w:line="3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Expense on warrants and convertible notes, net decreased by $9.4 million, or 83%, in the year ended December 31, 2021, compared to the prior year. The decrease was primarily a result of a $11.3 million increase in the fair value of warrants during the year ended December 31, 2020. We have no warrants outstanding as of December 31, 2021. The decrease was partially offset by a $1.9 million increase in interest expense in convertible notes in the year ended December 31, 2021. Our warrants were reclassified to equity in the fourth quarter of 2020 and exercised in January 2021. We had no warrants outstanding as of December 31, 2021.</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5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 supplement our consolidated financial statements prepared and presented in accordance with GAAP, we use the non-GAAP financial measures of Contribution Profit, Contribution Margin, Adjusted EBITDA, Adjusted EBITDA Margin, and Adjusted Net Income and Adjusted Net Income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address these limitations, we provide a reconciliation of Contribution Profit, Contribution Margin, Adjusted EBITDA, Adjusted EBITDA Margin, and Adjusted Net Income and Adjusted Net Income Per Share to income (loss) from operations and net income (loss) attributable to Upstart Holdings, Inc.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respectively. We encourage investors and others to review our financial information in its entirety, not to rely on any single financial measure and to view Contribution Profit, Contribution Margin, Adjusted EBITDA, Adjusted EBITDA Margin, Adjusted Net Income, and Adjusted Net Income Per Share in conjunction with their respective related GAAP financial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Profit and Contribution Margin</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period-to-period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reconciliation of income (loss) from operations to Contribution Profit and Contribution Margin. We define Operating Margin as our income (loss) from operations divided by revenue from fees, net.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gridSpan w:val="5"/>
          </w:tcPr>
          <w:p>
            <w:pPr>
              <w:ind w:left="1340"/>
              <w:spacing w:after="0"/>
              <w:rPr>
                <w:sz w:val="20"/>
                <w:szCs w:val="20"/>
                <w:color w:val="auto"/>
              </w:rPr>
            </w:pPr>
            <w:r>
              <w:rPr>
                <w:rFonts w:ascii="Arial" w:cs="Arial" w:eastAsia="Arial" w:hAnsi="Arial"/>
                <w:sz w:val="18"/>
                <w:szCs w:val="18"/>
                <w:b w:val="1"/>
                <w:bCs w:val="1"/>
                <w:color w:val="auto"/>
                <w:w w:val="89"/>
              </w:rPr>
              <w:t>Year Ended December 31,</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fees, net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159,847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228,600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801,275</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420" w:type="dxa"/>
            <w:vAlign w:val="bottom"/>
          </w:tcPr>
          <w:p>
            <w:pPr>
              <w:spacing w:after="0"/>
              <w:rPr>
                <w:sz w:val="19"/>
                <w:szCs w:val="19"/>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11,765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140,881</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line="230" w:lineRule="exact"/>
              <w:rPr>
                <w:sz w:val="20"/>
                <w:szCs w:val="20"/>
                <w:color w:val="auto"/>
              </w:rPr>
            </w:pPr>
            <w:r>
              <w:rPr>
                <w:rFonts w:ascii="Arial" w:cs="Arial" w:eastAsia="Arial" w:hAnsi="Arial"/>
                <w:sz w:val="18"/>
                <w:szCs w:val="18"/>
                <w:color w:val="auto"/>
              </w:rPr>
              <w:t>Sales and marketing, net of borrower acquisition costs</w:t>
            </w:r>
            <w:r>
              <w:rPr>
                <w:rFonts w:ascii="Arial" w:cs="Arial" w:eastAsia="Arial" w:hAnsi="Arial"/>
                <w:sz w:val="23"/>
                <w:szCs w:val="23"/>
                <w:color w:val="auto"/>
                <w:vertAlign w:val="superscript"/>
              </w:rPr>
              <w:t>(1)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7,959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25,840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Customer operations, net of borrower verification and servicing costs</w:t>
            </w:r>
            <w:r>
              <w:rPr>
                <w:rFonts w:ascii="Arial" w:cs="Arial" w:eastAsia="Arial" w:hAnsi="Arial"/>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21,797</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Engineering and product development</w:t>
            </w: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18,777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38,802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133,999</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administrative, and other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31,865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45,609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122,677</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and fair value adjustments, net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(47,314)</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Contribution Profit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48,940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105,088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397,880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i w:val="1"/>
                <w:iCs w:val="1"/>
                <w:color w:val="auto"/>
              </w:rPr>
              <w:t>Contribution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4" w:lineRule="exact"/>
              <w:rPr>
                <w:sz w:val="20"/>
                <w:szCs w:val="20"/>
                <w:color w:val="auto"/>
              </w:rPr>
            </w:pPr>
            <w:r>
              <w:rPr>
                <w:rFonts w:ascii="Arial" w:cs="Arial" w:eastAsia="Arial" w:hAnsi="Arial"/>
                <w:sz w:val="18"/>
                <w:szCs w:val="18"/>
                <w:color w:val="auto"/>
              </w:rPr>
              <w:t>31 %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line="204" w:lineRule="exact"/>
              <w:rPr>
                <w:sz w:val="20"/>
                <w:szCs w:val="20"/>
                <w:color w:val="auto"/>
              </w:rPr>
            </w:pPr>
            <w:r>
              <w:rPr>
                <w:rFonts w:ascii="Arial" w:cs="Arial" w:eastAsia="Arial" w:hAnsi="Arial"/>
                <w:sz w:val="18"/>
                <w:szCs w:val="18"/>
                <w:color w:val="auto"/>
              </w:rPr>
              <w:t>46 %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line="204"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303"/>
        </w:trPr>
        <w:tc>
          <w:tcPr>
            <w:tcW w:w="5740" w:type="dxa"/>
            <w:vAlign w:val="bottom"/>
          </w:tcPr>
          <w:p>
            <w:pPr>
              <w:spacing w:after="0"/>
              <w:rPr>
                <w:sz w:val="20"/>
                <w:szCs w:val="20"/>
                <w:color w:val="auto"/>
              </w:rPr>
            </w:pPr>
            <w:r>
              <w:rPr>
                <w:rFonts w:ascii="Arial" w:cs="Arial" w:eastAsia="Arial" w:hAnsi="Arial"/>
                <w:sz w:val="18"/>
                <w:szCs w:val="18"/>
                <w:color w:val="auto"/>
              </w:rPr>
              <w:t>_________</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500" w:right="20" w:hanging="492"/>
        <w:spacing w:after="0" w:line="241" w:lineRule="auto"/>
        <w:tabs>
          <w:tab w:leader="none" w:pos="4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Borrower acquisition costs were $89.6 million, $91.7 million and $307.6 million for the year ended December 31, 2019, 2020 and 2021,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1" w:lineRule="exact"/>
        <w:rPr>
          <w:rFonts w:ascii="Arial" w:cs="Arial" w:eastAsia="Arial" w:hAnsi="Arial"/>
          <w:sz w:val="14"/>
          <w:szCs w:val="14"/>
          <w:color w:val="auto"/>
        </w:rPr>
      </w:pPr>
    </w:p>
    <w:p>
      <w:pPr>
        <w:jc w:val="both"/>
        <w:ind w:left="500" w:hanging="492"/>
        <w:spacing w:after="0" w:line="246" w:lineRule="auto"/>
        <w:tabs>
          <w:tab w:leader="none" w:pos="4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Borrower verification and servicing costs were $21.3 million, $31.8 million and $95.8 million for the year ended December 31, 2019, 2020 and 2021,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Adjusted EBITDA and Adjusted EBITDA Margin are useful for investors to use in comparing our financial performance with the performance of other companies for the following reasons:</w:t>
      </w:r>
    </w:p>
    <w:p>
      <w:pPr>
        <w:spacing w:after="0" w:line="62" w:lineRule="exact"/>
        <w:rPr>
          <w:sz w:val="20"/>
          <w:szCs w:val="20"/>
          <w:color w:val="auto"/>
        </w:rPr>
      </w:pPr>
    </w:p>
    <w:p>
      <w:pPr>
        <w:jc w:val="both"/>
        <w:ind w:left="980" w:hanging="324"/>
        <w:spacing w:after="0" w:line="248"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73" w:lineRule="exact"/>
        <w:rPr>
          <w:rFonts w:ascii="Arial" w:cs="Arial" w:eastAsia="Arial" w:hAnsi="Arial"/>
          <w:sz w:val="18"/>
          <w:szCs w:val="18"/>
          <w:color w:val="auto"/>
        </w:rPr>
      </w:pPr>
    </w:p>
    <w:p>
      <w:pPr>
        <w:jc w:val="both"/>
        <w:ind w:left="980" w:hanging="324"/>
        <w:spacing w:after="0" w:line="248"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and Adjusted EBITDA Margin eliminate the impact of certain items such as stock-based compensation expense and certain payroll tax expense, warrant expense and acquisition-related costs that may obscure trends in the underlying performance of our business; and</w:t>
      </w:r>
    </w:p>
    <w:p>
      <w:pPr>
        <w:spacing w:after="0" w:line="73" w:lineRule="exact"/>
        <w:rPr>
          <w:rFonts w:ascii="Arial" w:cs="Arial" w:eastAsia="Arial" w:hAnsi="Arial"/>
          <w:sz w:val="18"/>
          <w:szCs w:val="18"/>
          <w:color w:val="auto"/>
        </w:rPr>
      </w:pPr>
    </w:p>
    <w:p>
      <w:pPr>
        <w:ind w:left="980" w:hanging="324"/>
        <w:spacing w:after="0" w:line="291" w:lineRule="auto"/>
        <w:tabs>
          <w:tab w:leader="none" w:pos="97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17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use of Adjusted EBITDA and Adjusted EBITDA Margin has limitations as an analytical tool, and these measures should not be considered in isolation or as a substitute for analysis of our financial results as reported under GAAP. Some of these limitations are as follows:</w:t>
      </w:r>
    </w:p>
    <w:p>
      <w:pPr>
        <w:spacing w:after="0" w:line="38" w:lineRule="exact"/>
        <w:rPr>
          <w:sz w:val="20"/>
          <w:szCs w:val="20"/>
          <w:color w:val="auto"/>
        </w:rPr>
      </w:pPr>
    </w:p>
    <w:p>
      <w:pPr>
        <w:jc w:val="both"/>
        <w:ind w:left="980" w:hanging="324"/>
        <w:spacing w:after="0" w:line="248"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jc w:val="both"/>
        <w:ind w:left="980" w:hanging="324"/>
        <w:spacing w:after="0" w:line="241"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which not correlate to the operation of the business;</w:t>
      </w:r>
    </w:p>
    <w:p>
      <w:pPr>
        <w:spacing w:after="0" w:line="81" w:lineRule="exact"/>
        <w:rPr>
          <w:rFonts w:ascii="Arial" w:cs="Arial" w:eastAsia="Arial" w:hAnsi="Arial"/>
          <w:sz w:val="18"/>
          <w:szCs w:val="18"/>
          <w:color w:val="auto"/>
        </w:rPr>
      </w:pPr>
    </w:p>
    <w:p>
      <w:pPr>
        <w:jc w:val="both"/>
        <w:ind w:left="980" w:hanging="324"/>
        <w:spacing w:after="0" w:line="248"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73" w:lineRule="exact"/>
        <w:rPr>
          <w:rFonts w:ascii="Arial" w:cs="Arial" w:eastAsia="Arial" w:hAnsi="Arial"/>
          <w:sz w:val="18"/>
          <w:szCs w:val="18"/>
          <w:color w:val="auto"/>
        </w:rPr>
      </w:pPr>
    </w:p>
    <w:p>
      <w:pPr>
        <w:jc w:val="both"/>
        <w:ind w:left="980" w:hanging="324"/>
        <w:spacing w:after="0" w:line="248"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209" w:lineRule="exact"/>
        <w:rPr>
          <w:sz w:val="20"/>
          <w:szCs w:val="20"/>
          <w:color w:val="auto"/>
        </w:rPr>
      </w:pPr>
    </w:p>
    <w:p>
      <w:pPr>
        <w:jc w:val="both"/>
        <w:ind w:firstLine="567"/>
        <w:spacing w:after="0" w:line="243" w:lineRule="auto"/>
        <w:rPr>
          <w:sz w:val="20"/>
          <w:szCs w:val="20"/>
          <w:color w:val="auto"/>
        </w:rPr>
      </w:pPr>
      <w:r>
        <w:rPr>
          <w:rFonts w:ascii="Arial" w:cs="Arial" w:eastAsia="Arial" w:hAnsi="Arial"/>
          <w:sz w:val="18"/>
          <w:szCs w:val="18"/>
          <w:color w:val="auto"/>
        </w:rPr>
        <w:t>Because of these limitations, Adjusted EBITDA and Adjusted EBITDA Margin should be considered along with other operating and financial performance measures presented in accordance with GAAP. The following table provides a reconciliation of net income (loss) attributable to Upstart Holdings, Inc. common stockholders to Adjusted EBITDA and net income margin to Adjusted EBITDA Margin. We define Net Income Margin as net income (loss) attributable to Upstart Holdings, Inc. common stockholders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rPr>
              <w:t>Year Ended December 31,</w:t>
            </w:r>
          </w:p>
        </w:tc>
        <w:tc>
          <w:tcPr>
            <w:tcW w:w="134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164,189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233,416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848,589</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w w:val="94"/>
              </w:rPr>
              <w:t>Net income (loss) attributable to Upstart Holdings, Inc. common stockholders</w:t>
            </w:r>
          </w:p>
        </w:tc>
        <w:tc>
          <w:tcPr>
            <w:tcW w:w="40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135,443</w:t>
            </w:r>
          </w:p>
        </w:tc>
      </w:tr>
      <w:tr>
        <w:trPr>
          <w:trHeight w:val="230"/>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Net Income Margin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Stock-based compensation and certain payroll tax expenses</w:t>
            </w:r>
            <w:r>
              <w:rPr>
                <w:rFonts w:ascii="Arial" w:cs="Arial" w:eastAsia="Arial" w:hAnsi="Arial"/>
                <w:sz w:val="23"/>
                <w:szCs w:val="23"/>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87,461</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7,541</w:t>
            </w: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Expense on warrants and convertible notes, net</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1,976</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(1,712)</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costs</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1,237</w:t>
            </w:r>
          </w:p>
        </w:tc>
      </w:tr>
      <w:tr>
        <w:trPr>
          <w:trHeight w:val="223"/>
        </w:trPr>
        <w:tc>
          <w:tcPr>
            <w:tcW w:w="58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31,509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231,946</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Adjusted EBITDA Margin</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500" w:hanging="492"/>
        <w:spacing w:after="0" w:line="241" w:lineRule="auto"/>
        <w:tabs>
          <w:tab w:leader="none" w:pos="492"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 2021, we began excluding the amount of employer payroll tax-related expense on employee stock transactions, as the amount is dependent on our stock price and other factors that are beyond our control and do not correlate to the operation of our business.</w:t>
      </w:r>
    </w:p>
    <w:p>
      <w:pPr>
        <w:ind w:left="500" w:hanging="492"/>
        <w:spacing w:after="0" w:line="255" w:lineRule="auto"/>
        <w:tabs>
          <w:tab w:leader="none" w:pos="492"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fair value adjustments to our warrant liability for the years ended December 31, 2019 and 2020 and interest expense on convertible notes for the year ended December 31,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Net Income Per Share</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define Adjusted Net Income as net income exclusive of stock-based compensation expense and certain payroll tax expense and acquisition-related costs. Adjusted Net Income Per Share is calculated by dividing Adjusted Net Income Per Share by the weighted-average common shares outstanding. We believe Adjusted Net Income and Adjusted Net Income Per Share are useful measures for investors in evaluating our ability to generate earnings, more readily compare between past and future periods, and provide comparability of our performance with the performance of other companies.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8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Pr>
          <w:p>
            <w:pPr>
              <w:spacing w:after="0"/>
              <w:rPr>
                <w:sz w:val="20"/>
                <w:szCs w:val="20"/>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income (loss) attributable to Upstart Holdings, Inc. common stockholders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135,443</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1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Stock-based compensation and certain payroll tax expenses</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87,461</w:t>
            </w:r>
          </w:p>
        </w:tc>
      </w:tr>
      <w:tr>
        <w:trPr>
          <w:trHeight w:val="230"/>
        </w:trPr>
        <w:tc>
          <w:tcPr>
            <w:tcW w:w="6100" w:type="dxa"/>
            <w:vAlign w:val="bottom"/>
          </w:tcPr>
          <w:p>
            <w:pPr>
              <w:ind w:left="240"/>
              <w:spacing w:after="0"/>
              <w:rPr>
                <w:sz w:val="20"/>
                <w:szCs w:val="20"/>
                <w:color w:val="auto"/>
              </w:rPr>
            </w:pPr>
            <w:r>
              <w:rPr>
                <w:rFonts w:ascii="Arial" w:cs="Arial" w:eastAsia="Arial" w:hAnsi="Arial"/>
                <w:sz w:val="18"/>
                <w:szCs w:val="18"/>
                <w:color w:val="auto"/>
              </w:rPr>
              <w:t>Acquisition-related costs</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224,141</w:t>
            </w:r>
          </w:p>
        </w:tc>
      </w:tr>
      <w:tr>
        <w:trPr>
          <w:trHeight w:val="210"/>
        </w:trPr>
        <w:tc>
          <w:tcPr>
            <w:tcW w:w="6100" w:type="dxa"/>
            <w:vAlign w:val="bottom"/>
          </w:tcPr>
          <w:p>
            <w:pPr>
              <w:ind w:left="20"/>
              <w:spacing w:after="0"/>
              <w:rPr>
                <w:sz w:val="20"/>
                <w:szCs w:val="20"/>
                <w:color w:val="auto"/>
              </w:rPr>
            </w:pPr>
            <w:r>
              <w:rPr>
                <w:rFonts w:ascii="Arial" w:cs="Arial" w:eastAsia="Arial" w:hAnsi="Arial"/>
                <w:sz w:val="18"/>
                <w:szCs w:val="18"/>
                <w:color w:val="auto"/>
              </w:rPr>
              <w:t>Net income (loss) per share: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61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100" w:type="dxa"/>
            <w:vAlign w:val="bottom"/>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14,335,611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17,513,670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78,106,359</w:t>
            </w:r>
          </w:p>
        </w:tc>
      </w:tr>
      <w:tr>
        <w:trPr>
          <w:trHeight w:val="230"/>
        </w:trPr>
        <w:tc>
          <w:tcPr>
            <w:tcW w:w="6100" w:type="dxa"/>
            <w:vAlign w:val="bottom"/>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72,336,672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76,098,275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94,772,641</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4" w:lineRule="exact"/>
        <w:rPr>
          <w:sz w:val="20"/>
          <w:szCs w:val="20"/>
          <w:color w:val="auto"/>
        </w:rPr>
      </w:pPr>
    </w:p>
    <w:p>
      <w:pPr>
        <w:ind w:left="500" w:hanging="492"/>
        <w:spacing w:after="0" w:line="273" w:lineRule="auto"/>
        <w:tabs>
          <w:tab w:leader="none" w:pos="492"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2021, we began excluding the amount of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inception, we have financed our operations, corporate investments, and capital expenditures primarily through the sale of convertible preferred stock, convertible promissory notes, term loans and draws on our revolving credit facilities, and cash generated from operations. For further details related to our warehouse credit facilities, risk retention funding loan, convertible senior notes and capped calls, see “</w:t>
      </w:r>
      <w:r>
        <w:rPr>
          <w:rFonts w:ascii="Arial" w:cs="Arial" w:eastAsia="Arial" w:hAnsi="Arial"/>
          <w:sz w:val="18"/>
          <w:szCs w:val="18"/>
          <w:i w:val="1"/>
          <w:iCs w:val="1"/>
          <w:color w:val="auto"/>
        </w:rPr>
        <w:t>Note 8. Borrowings</w:t>
      </w:r>
      <w:r>
        <w:rPr>
          <w:rFonts w:ascii="Arial" w:cs="Arial" w:eastAsia="Arial" w:hAnsi="Arial"/>
          <w:sz w:val="18"/>
          <w:szCs w:val="18"/>
          <w:color w:val="auto"/>
        </w:rPr>
        <w:t>” in Part II, Item 8 of this Annual Report on Form 10-K.</w:t>
      </w:r>
    </w:p>
    <w:p>
      <w:pPr>
        <w:spacing w:after="0" w:line="2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December 2020, we completed our IPO which resulted in $167.4 million of proceeds, net of underwriting discounts and commissions, and before deducting deferred offering costs of $7.9 million. In April 2021, we completed a follow-on offering, in which 2,300,000 shares of common stock (including the exercise in full of the underwriters option to purchase 300,000 shares) were issued and sold at $120.00 per share. We received net proceeds of $263.9 million after deducting underwriting discounts and commissions of $11.0 million and offering expenses of $1.0 million. In August 2021, we issued $661.3 million aggregate principal amount of 0.25% convertible senior notes due 2026, or the Notes, (including the exercise in full of the initial purchasers’ option of an additional $86.3 million aggregate principal of additional Notes) in a private placement to qualified institutional buyers. The net proceeds from the sale of the Notes were $645.5 million after deducting debt issuance costs.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2021, our primary source of liquidity was cash of $986.6 million. Changes in the balance of cash are generally a result of working capital fluctuations or the timing of purchases of loans facilitated through our platform. To finance purchases of certain loans facilitated through our platform, we rely on our warehouse credit facilities, which allows us to borrow up to an aggregate of $200.0 million through the special-purpose trusts, or the warehouse trusts. Loans purchased by these trusts are classified as held-for-sale and can be sold to third-party investors or in securitization transactions to generate additional liquidity.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current and long-term material cash requirements as of December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vMerge w:val="restart"/>
          </w:tcPr>
          <w:p>
            <w:pPr>
              <w:spacing w:after="0"/>
              <w:rPr>
                <w:sz w:val="18"/>
                <w:szCs w:val="18"/>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0"/>
              </w:rPr>
              <w:t>Less than 1 year</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1 to 3 years</w:t>
            </w:r>
          </w:p>
        </w:tc>
        <w:tc>
          <w:tcPr>
            <w:tcW w:w="8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3 to 5 years</w:t>
            </w:r>
          </w:p>
        </w:tc>
        <w:tc>
          <w:tcPr>
            <w:tcW w:w="8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More than 5</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ind w:left="20"/>
              <w:spacing w:after="0" w:line="250" w:lineRule="exact"/>
              <w:rPr>
                <w:sz w:val="20"/>
                <w:szCs w:val="20"/>
                <w:color w:val="auto"/>
              </w:rPr>
            </w:pPr>
            <w:r>
              <w:rPr>
                <w:rFonts w:ascii="Arial" w:cs="Arial" w:eastAsia="Arial" w:hAnsi="Arial"/>
                <w:sz w:val="18"/>
                <w:szCs w:val="18"/>
                <w:color w:val="auto"/>
              </w:rPr>
              <w:t>Loan purchase obligations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111,330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Warehouse credit facilities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Convertible senior notes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Purchase commitment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51,954</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991,942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99,151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709,152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17" w:lineRule="exact"/>
        <w:rPr>
          <w:sz w:val="20"/>
          <w:szCs w:val="20"/>
          <w:color w:val="auto"/>
        </w:rPr>
      </w:pPr>
    </w:p>
    <w:p>
      <w:pPr>
        <w:jc w:val="both"/>
        <w:ind w:left="500" w:hanging="492"/>
        <w:spacing w:after="0" w:line="241" w:lineRule="auto"/>
        <w:tabs>
          <w:tab w:leader="none" w:pos="492"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loans facilitated through our platform of which certain of our originating banks retain ownership for the duration of the holding period required by our contracts with the banks. This period is generally equal to three business days. We have committed to purchase the loans for the unpaid principal balance, plus accrued interest, at the conclusion of the required period.</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principal and future interest payments related to the convertible senior notes.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 discussion of our long-term debt obligations, operating lease obligations and loan repurchase agreement as of December 31, 2021, see “</w:t>
      </w:r>
      <w:r>
        <w:rPr>
          <w:rFonts w:ascii="Arial" w:cs="Arial" w:eastAsia="Arial" w:hAnsi="Arial"/>
          <w:sz w:val="16"/>
          <w:szCs w:val="16"/>
          <w:i w:val="1"/>
          <w:iCs w:val="1"/>
          <w:color w:val="auto"/>
        </w:rPr>
        <w:t>Note</w:t>
      </w:r>
    </w:p>
    <w:p>
      <w:pPr>
        <w:spacing w:after="0" w:line="46" w:lineRule="exact"/>
        <w:rPr>
          <w:sz w:val="20"/>
          <w:szCs w:val="20"/>
          <w:color w:val="auto"/>
        </w:rPr>
      </w:pPr>
    </w:p>
    <w:p>
      <w:pPr>
        <w:ind w:firstLine="8"/>
        <w:spacing w:after="0" w:line="260" w:lineRule="auto"/>
        <w:tabs>
          <w:tab w:leader="none" w:pos="18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 “</w:t>
      </w:r>
      <w:r>
        <w:rPr>
          <w:rFonts w:ascii="Arial" w:cs="Arial" w:eastAsia="Arial" w:hAnsi="Arial"/>
          <w:sz w:val="18"/>
          <w:szCs w:val="18"/>
          <w:i w:val="1"/>
          <w:iCs w:val="1"/>
          <w:color w:val="auto"/>
        </w:rPr>
        <w:t>Note 10. Leases,</w:t>
      </w:r>
      <w:r>
        <w:rPr>
          <w:rFonts w:ascii="Arial" w:cs="Arial" w:eastAsia="Arial" w:hAnsi="Arial"/>
          <w:sz w:val="18"/>
          <w:szCs w:val="18"/>
          <w:color w:val="auto"/>
        </w:rPr>
        <w:t>” and “</w:t>
      </w:r>
      <w:r>
        <w:rPr>
          <w:rFonts w:ascii="Arial" w:cs="Arial" w:eastAsia="Arial" w:hAnsi="Arial"/>
          <w:sz w:val="18"/>
          <w:szCs w:val="18"/>
          <w:i w:val="1"/>
          <w:iCs w:val="1"/>
          <w:color w:val="auto"/>
        </w:rPr>
        <w:t>Note 11. Commitments and Contingencies</w:t>
      </w:r>
      <w:r>
        <w:rPr>
          <w:rFonts w:ascii="Arial" w:cs="Arial" w:eastAsia="Arial" w:hAnsi="Arial"/>
          <w:sz w:val="18"/>
          <w:szCs w:val="18"/>
          <w:color w:val="auto"/>
        </w:rPr>
        <w:t>,” respectively, in Part II, Item 8 of this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for further information.</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While we believe that our cash on hand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balances and cash generated by operations are insufficient to satisfy liquidity needs, our results of operations and financial condition would be materially and adversely impacted.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ordinary course of business, we engage in activities that are not reflected on our consolidated balance sheets, generally referred to as off-balance sheet arrangements. These activities involve transactions with unconsolidated VIEs, including our sponsored and co-sponsored securitization transactions, which we contractually service. We use these transactions to provide a source of liquidity to finance our business and to diversify our investor base. When we are the retaining sponsor, we are required by law to retain at least 5% of the credit risk of the securities issued in these securitizations. We provide additional information regarding transactions with unconsolidated VIEs in “</w:t>
      </w:r>
      <w:r>
        <w:rPr>
          <w:rFonts w:ascii="Arial" w:cs="Arial" w:eastAsia="Arial" w:hAnsi="Arial"/>
          <w:sz w:val="18"/>
          <w:szCs w:val="18"/>
          <w:i w:val="1"/>
          <w:iCs w:val="1"/>
          <w:color w:val="auto"/>
        </w:rPr>
        <w:t>Note 3. Securitizations and Variable Interest Entities</w:t>
      </w:r>
      <w:r>
        <w:rPr>
          <w:rFonts w:ascii="Arial" w:cs="Arial" w:eastAsia="Arial" w:hAnsi="Arial"/>
          <w:sz w:val="18"/>
          <w:szCs w:val="18"/>
          <w:color w:val="auto"/>
        </w:rPr>
        <w:t>” in Part II, Item 8 of this Annual Report on Form 10-K.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46"/>
        </w:trPr>
        <w:tc>
          <w:tcPr>
            <w:tcW w:w="7860" w:type="dxa"/>
            <w:vAlign w:val="bottom"/>
          </w:tcPr>
          <w:p>
            <w:pPr>
              <w:ind w:left="660"/>
              <w:spacing w:after="0"/>
              <w:rPr>
                <w:sz w:val="20"/>
                <w:szCs w:val="20"/>
                <w:color w:val="auto"/>
              </w:rPr>
            </w:pPr>
            <w:r>
              <w:rPr>
                <w:rFonts w:ascii="Arial" w:cs="Arial" w:eastAsia="Arial" w:hAnsi="Arial"/>
                <w:sz w:val="18"/>
                <w:szCs w:val="18"/>
                <w:color w:val="auto"/>
              </w:rPr>
              <w:t>The following table summarizes our cash flows during the years indicated:</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7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168,353</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136,517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center"/>
              <w:ind w:left="430"/>
              <w:spacing w:after="0"/>
              <w:rPr>
                <w:sz w:val="20"/>
                <w:szCs w:val="20"/>
                <w:color w:val="auto"/>
              </w:rPr>
            </w:pPr>
            <w:r>
              <w:rPr>
                <w:rFonts w:ascii="Arial" w:cs="Arial" w:eastAsia="Arial" w:hAnsi="Arial"/>
                <w:sz w:val="18"/>
                <w:szCs w:val="18"/>
                <w:color w:val="auto"/>
                <w:w w:val="93"/>
              </w:rPr>
              <w:t>(143,877)</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89"/>
              </w:rPr>
              <w:t>855,432</w:t>
            </w:r>
          </w:p>
        </w:tc>
      </w:tr>
      <w:tr>
        <w:trPr>
          <w:trHeight w:val="223"/>
        </w:trPr>
        <w:tc>
          <w:tcPr>
            <w:tcW w:w="7860" w:type="dxa"/>
            <w:vAlign w:val="bottom"/>
          </w:tcPr>
          <w:p>
            <w:pPr>
              <w:ind w:left="240"/>
              <w:spacing w:after="0"/>
              <w:rPr>
                <w:sz w:val="20"/>
                <w:szCs w:val="20"/>
                <w:color w:val="auto"/>
              </w:rPr>
            </w:pPr>
            <w:r>
              <w:rPr>
                <w:rFonts w:ascii="Arial" w:cs="Arial" w:eastAsia="Arial" w:hAnsi="Arial"/>
                <w:sz w:val="18"/>
                <w:szCs w:val="18"/>
                <w:color w:val="auto"/>
              </w:rPr>
              <w:t>Net increase in cash and restricted cash</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89"/>
              </w:rPr>
              <w:t>879,908</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Operating Activities</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main sources of cash provided by operating activities are our revenue from fees earned under contracts with bank partners and loan investors and interest income we receive for loans held on our balance sheet.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main uses of cash in our operating activities include payments to marketing partners, vendor payments, payroll and other personnel-related expenses, payments for facilities, and other general business expenditures.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provided by operating activities was $168.4 million for the year ended December 31, 2021, which primarily consisted of net income before attribution to noncontrolling interests of $135.4 million, adjustments for non-cash items of $75.6 million, and a decrease of $42.7 million increase in net operating assets and liabilities. The decrease in net operating assets and liabilities was primarily related to a $62.0 million increase in operating assets, predominately driven by an increase in servicing fees and other receivables and prepaid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Investing Activities</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was $143.9 million for the year ended December 31, 2021 as a result of $159.4 million purchase of loans held-for-investment and $40.0 million cash paid for a non-marketable equity security, partially offset by $51.4 million net proceeds from sale of loans held-for-investment and $24.5 million principal payments received for loans held-for-investment.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financing activities was $855.4 million for the year ended December 31, 2021 as a result of $718.4 million proceeds from borrowings, including $661.3 million proceeds from the issuance of convertible debt, and $263.9 million net proceeds from our secondary offering of common stock, which was partially offset by $71.3 million payment on borrowings and $58.5 million purchase of capped calls.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our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Our significant accounting policies are described in “</w:t>
      </w:r>
      <w:r>
        <w:rPr>
          <w:rFonts w:ascii="Arial" w:cs="Arial" w:eastAsia="Arial" w:hAnsi="Arial"/>
          <w:sz w:val="18"/>
          <w:szCs w:val="18"/>
          <w:i w:val="1"/>
          <w:iCs w:val="1"/>
          <w:color w:val="auto"/>
        </w:rPr>
        <w:t>Note 1. Description of Business and Significant Accounting Policie</w:t>
      </w:r>
      <w:r>
        <w:rPr>
          <w:rFonts w:ascii="Arial" w:cs="Arial" w:eastAsia="Arial" w:hAnsi="Arial"/>
          <w:sz w:val="18"/>
          <w:szCs w:val="18"/>
          <w:color w:val="auto"/>
        </w:rPr>
        <w:t>s” in Part II, Item 8 of this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elected the fair value option for loans, notes receivable and residual certificates. We believe the estimate of fair value of these financial instruments requires significant judgment. We use a discounted cash flow model to estimate the fair value of these financial instruments based on the present value of estimated future cash flows. This model uses both observable and unobservable inputs and reflects our best estimates of the assumptions a market participant would use to calculate fair value. Primary inputs that require significant judgment include discount rates, credit risk rates and expected prepayment rates. These inputs are based on historical performance of loans facilitated through our platform, as well as the consideration of market participant requirements.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also elected the fair value option for servicing assets and liabilities. We record servicing assets and liabilities at estimated fair value when we transfer loans which qualify as sales under Topic 860, Transfers and Servicing. We use a discounted cash flow model to estimate the fair value of loan servicing assets and liabilities. The cash flows in the valuation model represent the difference between the servicing fees charged to institutional investors and an estimated market servicing fee. Since servicing fees are generally based on the monthly unpaid principal balance of the underlying loans, the expected cash flows in the model incorporate estimated credit risk and expected prepayments on the loans. For further information on fair value measurement refer to “</w:t>
      </w:r>
      <w:r>
        <w:rPr>
          <w:rFonts w:ascii="Arial" w:cs="Arial" w:eastAsia="Arial" w:hAnsi="Arial"/>
          <w:sz w:val="17"/>
          <w:szCs w:val="17"/>
          <w:i w:val="1"/>
          <w:iCs w:val="1"/>
          <w:color w:val="auto"/>
        </w:rPr>
        <w:t>Note 4. Fair Value Measurement</w:t>
      </w:r>
      <w:r>
        <w:rPr>
          <w:rFonts w:ascii="Arial" w:cs="Arial" w:eastAsia="Arial" w:hAnsi="Arial"/>
          <w:sz w:val="17"/>
          <w:szCs w:val="17"/>
          <w:color w:val="auto"/>
        </w:rPr>
        <w:t>” in Part II, Item 8 of this Annual Report on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for Impairment of Goodwill and Acquired Intangible Assets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Assets acquired and liabilities assumed in a business combination are recognized at their estimated fair value as of the acquisition date. The excess purchase price over the fair value of assets acquired and liabilities assumed is recorded as goodwill. The allocation of fair values may be subject to adjustment after the initial allocation for up to a one-year period, with the corresponding offset to goodwill. For further information on business combinations refer to “</w:t>
      </w:r>
      <w:r>
        <w:rPr>
          <w:rFonts w:ascii="Arial" w:cs="Arial" w:eastAsia="Arial" w:hAnsi="Arial"/>
          <w:sz w:val="18"/>
          <w:szCs w:val="18"/>
          <w:i w:val="1"/>
          <w:iCs w:val="1"/>
          <w:color w:val="auto"/>
        </w:rPr>
        <w:t>Note 5. Acquisitions</w:t>
      </w:r>
      <w:r>
        <w:rPr>
          <w:rFonts w:ascii="Arial" w:cs="Arial" w:eastAsia="Arial" w:hAnsi="Arial"/>
          <w:sz w:val="18"/>
          <w:szCs w:val="18"/>
          <w:color w:val="auto"/>
        </w:rPr>
        <w:t>” in Part II, Item 8 of this Annual Report on Form 10-K.</w:t>
      </w:r>
    </w:p>
    <w:p>
      <w:pPr>
        <w:spacing w:after="0" w:line="21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Goodwill is reviewed for impairment annually, or more frequently if an event or a change in circumstances indicates that goodwill may be impaired. For further information on goodwill, refer to “</w:t>
      </w:r>
      <w:r>
        <w:rPr>
          <w:rFonts w:ascii="Arial" w:cs="Arial" w:eastAsia="Arial" w:hAnsi="Arial"/>
          <w:sz w:val="18"/>
          <w:szCs w:val="18"/>
          <w:i w:val="1"/>
          <w:iCs w:val="1"/>
          <w:color w:val="auto"/>
        </w:rPr>
        <w:t>Note 1. Description of Business and Significant Accounting Policies</w:t>
      </w:r>
      <w:r>
        <w:rPr>
          <w:rFonts w:ascii="Arial" w:cs="Arial" w:eastAsia="Arial" w:hAnsi="Arial"/>
          <w:sz w:val="18"/>
          <w:szCs w:val="18"/>
          <w:color w:val="auto"/>
        </w:rPr>
        <w:t>” and “</w:t>
      </w:r>
      <w:r>
        <w:rPr>
          <w:rFonts w:ascii="Arial" w:cs="Arial" w:eastAsia="Arial" w:hAnsi="Arial"/>
          <w:sz w:val="18"/>
          <w:szCs w:val="18"/>
          <w:i w:val="1"/>
          <w:iCs w:val="1"/>
          <w:color w:val="auto"/>
        </w:rPr>
        <w:t>Note 6.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w:t>
      </w:r>
      <w:r>
        <w:rPr>
          <w:rFonts w:ascii="Arial" w:cs="Arial" w:eastAsia="Arial" w:hAnsi="Arial"/>
          <w:sz w:val="18"/>
          <w:szCs w:val="18"/>
          <w:color w:val="auto"/>
        </w:rPr>
        <w:t>” in Part II, Item 8 of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determination of the amount of stock-based compensation expense to be recorded requires us to develop estimates to be used in the calculation of the grant date fair value of stock options and purchase rights granted under our employee stock purchase plan. We estimate the grant date fair value of stock options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employee purchase rights using the Black-Scholes option-pricing model. The use of the Black-Scholes model requires us to make key assumptions such as expected option term and volatility to determine the fair value of a stock option. We estimate the expected term based on the simplified method, which is the weighted-average time to vesting and the contractual maturity. Volatility is estimated based on the average volatility for comparable publicly-traded companies, over a period equal to the expected term of the award grants. For further information on stock-based compensation refer to “</w:t>
      </w:r>
      <w:r>
        <w:rPr>
          <w:rFonts w:ascii="Arial" w:cs="Arial" w:eastAsia="Arial" w:hAnsi="Arial"/>
          <w:sz w:val="18"/>
          <w:szCs w:val="18"/>
          <w:i w:val="1"/>
          <w:iCs w:val="1"/>
          <w:color w:val="auto"/>
        </w:rPr>
        <w:t>Note 9. Equity</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w:t>
      </w:r>
      <w:r>
        <w:rPr>
          <w:rFonts w:ascii="Arial" w:cs="Arial" w:eastAsia="Arial" w:hAnsi="Arial"/>
          <w:sz w:val="18"/>
          <w:szCs w:val="18"/>
          <w:color w:val="auto"/>
        </w:rPr>
        <w:t>s” in Part II, Item 8 of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provision for income taxes consists primarily of federal, state, and local tax. Our effective tax rate fluctuates from period to period due to changes in the mix of income and losses in jurisdictions with a wide range of tax rates, the effect of acquisitions, changes resulting from the amount of recorded valuation allowance, permanent differences between U.S. generally accepted accounting principles and local tax laws, certain one-time items, and changes in tax contingencies.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Significant judgment is required in the determination of our annual income tax provisions, which includes the assessment of deferred tax assets and uncertain tax positions, as well as the interpretation and application of existing and newly enacted tax laws, regulation changes, and new judicial rulings. It is possible that actual results will vary from those recognized in our consolidated financial statements due to changes in the interpretation of applicable guidance or as a result of examinations by taxing authorities. For further information on income taxes refer to “</w:t>
      </w:r>
      <w:r>
        <w:rPr>
          <w:rFonts w:ascii="Arial" w:cs="Arial" w:eastAsia="Arial" w:hAnsi="Arial"/>
          <w:sz w:val="18"/>
          <w:szCs w:val="18"/>
          <w:i w:val="1"/>
          <w:iCs w:val="1"/>
          <w:color w:val="auto"/>
        </w:rPr>
        <w:t>Note 12. Income Taxes</w:t>
      </w:r>
      <w:r>
        <w:rPr>
          <w:rFonts w:ascii="Arial" w:cs="Arial" w:eastAsia="Arial" w:hAnsi="Arial"/>
          <w:sz w:val="18"/>
          <w:szCs w:val="18"/>
          <w:color w:val="auto"/>
        </w:rPr>
        <w:t>”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which primarily relate to fluctuations in market discount rates, credit risks, and interest rates. We are exposed to market risk directly through loans and securities held on our consolidated balance sheets, access to the securitization markets, investor demand for unsecured personal loans and secured auto loans facilitated through our platform, and availability of funding under our current credit facilities and term loans. Such fluctuations to date have not been significant.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 Rate Risk</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Discount rate sensitivity refers to the risk of loss to future earnings, values or future cash flows that may result from changes in market discount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Loans at Fair Value</w:t>
      </w:r>
      <w:r>
        <w:rPr>
          <w:rFonts w:ascii="Arial" w:cs="Arial" w:eastAsia="Arial" w:hAnsi="Arial"/>
          <w:sz w:val="16"/>
          <w:szCs w:val="16"/>
          <w:color w:val="auto"/>
        </w:rPr>
        <w:t>—As of December 31, 2020 and 2021, we were exposed to market discount rate risk on $78.5 million and $252.5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of loans held-for-investment and held-for-sale on our consolidated balance sheets. The fair value of these loans is estimated using a discounted cash flow methodology, where the discount rate represents an estimate of the required rate of return by market participants. The discount rates for loans facilitated through our platform may change due to changes in expected loan performance or changes in the expected returns of similar financial instruments available in the market. Any gains and losses from discount rate changes are recorded in earnings. A hypothetical 100 basis point and 200 basis point increase in the discount rate would result in a $1.0 million and $1.9 million decrease, respectively, in the fair value of loans held on our consolidated balance sheet as of December 31, 2020 and a $3.4 million and $6.7 million decrease, respectively, as of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Credit risk refers to the risk of loss arising from individual borrower default due to inability or unwillingness to meet their financial obligations. The performance of certain financial instruments, including loans, securitization notes and residual certificates, on our consolidated balance sheets are dependent on the credit performance of loans facilitated by us. To manage this risk, we monitor borrower payment performance through our lending platform and utilize our AI capabilities to price loans in a manner that we believe is reflective of their credit risk.</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Loans, at Fair Value</w:t>
      </w:r>
      <w:r>
        <w:rPr>
          <w:rFonts w:ascii="Arial" w:cs="Arial" w:eastAsia="Arial" w:hAnsi="Arial"/>
          <w:sz w:val="18"/>
          <w:szCs w:val="18"/>
          <w:color w:val="auto"/>
        </w:rPr>
        <w:t>—As of December 31, 2020 and 2021, we were exposed to credit risk on $78.5 million and $252.5 million, respectively of</w:t>
      </w:r>
      <w:r>
        <w:rPr>
          <w:rFonts w:ascii="Arial" w:cs="Arial" w:eastAsia="Arial" w:hAnsi="Arial"/>
          <w:sz w:val="18"/>
          <w:szCs w:val="18"/>
          <w:i w:val="1"/>
          <w:iCs w:val="1"/>
          <w:color w:val="auto"/>
        </w:rPr>
        <w:t xml:space="preserve"> </w:t>
      </w:r>
      <w:r>
        <w:rPr>
          <w:rFonts w:ascii="Arial" w:cs="Arial" w:eastAsia="Arial" w:hAnsi="Arial"/>
          <w:sz w:val="18"/>
          <w:szCs w:val="18"/>
          <w:color w:val="auto"/>
        </w:rPr>
        <w:t>loans in held-for-investment and held-for-sale in our consolidated balance sheet. These loans bear fixed interest rates and are carried on our consolidated balance sheets at fair value. As of December 31, 2020, a hypothetical 10% and 20% increase in credit risk would result in a $1.3 million and $2.6 million decrease, and as of December 31, 2021, a hypothetical 10% and 20% increase in credit risk would result in a $4.0 million and $7.9 million decrease in the fair value of loans held on the Company’s consolidated balance sheets, respectively.</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and 2021, we are exposed to credit risk of $311.3 million and $1,191.2 million, respectively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consolidated balance sheets exceeds the insured amounts by the Federal Deposit Insurance Corporation, or FDIC. We reduce credit risk by placing our cash and restricted cash in reputable institutions.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interest rates charged on the loans that our bank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borrowers and their ability and willingness to borrow money. Higher interest rates often lead to higher payment obligations, which may reduce the ability of individual borrowers to remain current on their obligations and therefore, lead to increased delinquencies, defaults, customer bankruptcies and charge-offs, and decreasing recoveries, all of which could have a material adverse effect on our business.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Term Loan, Warehouse Credit Facilities and Revolving Credit Facilit</w:t>
      </w:r>
      <w:r>
        <w:rPr>
          <w:rFonts w:ascii="Arial" w:cs="Arial" w:eastAsia="Arial" w:hAnsi="Arial"/>
          <w:sz w:val="16"/>
          <w:szCs w:val="16"/>
          <w:color w:val="auto"/>
        </w:rPr>
        <w:t>y—As of December 31, 2020, we were exposed to interest rate risk on $55.5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under the term loan, warehouse credit facilities, and revolving credit facility arrangements, which bear floating interest rates. As of December 31, 2021, we were exposed to interest rate risk on $48.0 million under our warehouse credit facilities, which bears a floating interest rate. Changes in interest rates may impact our cost of borrowing. From time to time, we enter into interest rate hedges in connection with our warehouse credit facilities.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inability or failure to manage market risks could harm our business, financial condition or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Risk</w:t>
      </w:r>
    </w:p>
    <w:p>
      <w:pPr>
        <w:spacing w:after="0" w:line="2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non-marketable equity security is subject to a wide variety of market-related risks that could substantially reduce or increase the carrying value of our investment.</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non-marketable equity investment is in an equity security of a privately-held company without a readily determinable fair value. We elected to account for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 and the extent to which those differences would affect the fair values of the investment. We also assess our non-marketable equity security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income (expense), net on the consolidated statements of operations and comprehensive income (loss) upon recognition of such adjustments or impairments. As of December 31, 2021, the carrying value of our non-marketable equity security, which does not have a readily determinable fair value totaled $40.0 million. We had no such security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2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2"/>
              </w:rPr>
              <w:t>Upstart Holdings, Inc.</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740" w:type="dxa"/>
            <w:vAlign w:val="bottom"/>
            <w:gridSpan w:val="5"/>
          </w:tcPr>
          <w:p>
            <w:pPr>
              <w:jc w:val="center"/>
              <w:ind w:right="2740"/>
              <w:spacing w:after="0"/>
              <w:rPr>
                <w:sz w:val="20"/>
                <w:szCs w:val="20"/>
                <w:color w:val="auto"/>
              </w:rPr>
            </w:pPr>
            <w:r>
              <w:rPr>
                <w:rFonts w:ascii="Arial" w:cs="Arial" w:eastAsia="Arial" w:hAnsi="Arial"/>
                <w:sz w:val="18"/>
                <w:szCs w:val="18"/>
                <w:b w:val="1"/>
                <w:bCs w:val="1"/>
                <w:color w:val="auto"/>
              </w:rPr>
              <w:t>INDEX TO CONSOLIDATED FINANCIAL STATEMENTS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8"/>
              </w:rPr>
              <w:t>Page</w:t>
            </w:r>
          </w:p>
        </w:tc>
      </w:tr>
      <w:tr>
        <w:trPr>
          <w:trHeight w:val="209"/>
        </w:trPr>
        <w:tc>
          <w:tcPr>
            <w:tcW w:w="10840" w:type="dxa"/>
            <w:vAlign w:val="bottom"/>
            <w:gridSpan w:val="8"/>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34)</w:t>
            </w:r>
          </w:p>
        </w:tc>
        <w:tc>
          <w:tcPr>
            <w:tcW w:w="360" w:type="dxa"/>
            <w:vAlign w:val="bottom"/>
            <w:gridSpan w:val="2"/>
          </w:tcPr>
          <w:p>
            <w:pPr>
              <w:jc w:val="right"/>
              <w:spacing w:after="0"/>
              <w:rPr>
                <w:rFonts w:ascii="Arial" w:cs="Arial" w:eastAsia="Arial" w:hAnsi="Arial"/>
                <w:sz w:val="18"/>
                <w:szCs w:val="18"/>
                <w:color w:val="0000FF"/>
              </w:rPr>
            </w:pPr>
            <w:hyperlink w:anchor="page104">
              <w:r>
                <w:rPr>
                  <w:rFonts w:ascii="Arial" w:cs="Arial" w:eastAsia="Arial" w:hAnsi="Arial"/>
                  <w:sz w:val="18"/>
                  <w:szCs w:val="18"/>
                  <w:color w:val="0000FF"/>
                </w:rPr>
                <w:t>105</w:t>
              </w:r>
            </w:hyperlink>
          </w:p>
        </w:tc>
      </w:tr>
      <w:tr>
        <w:trPr>
          <w:trHeight w:val="249"/>
        </w:trPr>
        <w:tc>
          <w:tcPr>
            <w:tcW w:w="42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Financial Statements:</w:t>
            </w:r>
          </w:p>
        </w:tc>
        <w:tc>
          <w:tcPr>
            <w:tcW w:w="6620" w:type="dxa"/>
            <w:vAlign w:val="bottom"/>
            <w:gridSpan w:val="3"/>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r>
      <w:tr>
        <w:trPr>
          <w:trHeight w:val="190"/>
        </w:trPr>
        <w:tc>
          <w:tcPr>
            <w:tcW w:w="220" w:type="dxa"/>
            <w:vAlign w:val="bottom"/>
          </w:tcPr>
          <w:p>
            <w:pPr>
              <w:spacing w:after="0"/>
              <w:rPr>
                <w:sz w:val="16"/>
                <w:szCs w:val="16"/>
                <w:color w:val="auto"/>
              </w:rPr>
            </w:pPr>
          </w:p>
        </w:tc>
        <w:tc>
          <w:tcPr>
            <w:tcW w:w="2100" w:type="dxa"/>
            <w:vAlign w:val="bottom"/>
          </w:tcPr>
          <w:p>
            <w:pPr>
              <w:spacing w:after="0" w:line="190" w:lineRule="exact"/>
              <w:rPr>
                <w:rFonts w:ascii="Arial" w:cs="Arial" w:eastAsia="Arial" w:hAnsi="Arial"/>
                <w:sz w:val="18"/>
                <w:szCs w:val="18"/>
                <w:color w:val="0000FF"/>
                <w:w w:val="88"/>
              </w:rPr>
            </w:pPr>
            <w:hyperlink w:anchor="page106">
              <w:r>
                <w:rPr>
                  <w:rFonts w:ascii="Arial" w:cs="Arial" w:eastAsia="Arial" w:hAnsi="Arial"/>
                  <w:sz w:val="18"/>
                  <w:szCs w:val="18"/>
                  <w:color w:val="0000FF"/>
                  <w:w w:val="88"/>
                </w:rPr>
                <w:t>Consolidated Balance Sheets</w:t>
              </w:r>
            </w:hyperlink>
          </w:p>
        </w:tc>
        <w:tc>
          <w:tcPr>
            <w:tcW w:w="8520" w:type="dxa"/>
            <w:vAlign w:val="bottom"/>
            <w:gridSpan w:val="6"/>
          </w:tcPr>
          <w:p>
            <w:pPr>
              <w:spacing w:after="0"/>
              <w:rPr>
                <w:sz w:val="16"/>
                <w:szCs w:val="16"/>
                <w:color w:val="auto"/>
              </w:rPr>
            </w:pPr>
          </w:p>
        </w:tc>
        <w:tc>
          <w:tcPr>
            <w:tcW w:w="360" w:type="dxa"/>
            <w:vAlign w:val="bottom"/>
            <w:gridSpan w:val="2"/>
          </w:tcPr>
          <w:p>
            <w:pPr>
              <w:jc w:val="right"/>
              <w:spacing w:after="0" w:line="190" w:lineRule="exact"/>
              <w:rPr>
                <w:rFonts w:ascii="Arial" w:cs="Arial" w:eastAsia="Arial" w:hAnsi="Arial"/>
                <w:sz w:val="18"/>
                <w:szCs w:val="18"/>
                <w:color w:val="0000FF"/>
              </w:rPr>
            </w:pPr>
            <w:hyperlink w:anchor="page106">
              <w:r>
                <w:rPr>
                  <w:rFonts w:ascii="Arial" w:cs="Arial" w:eastAsia="Arial" w:hAnsi="Arial"/>
                  <w:sz w:val="18"/>
                  <w:szCs w:val="18"/>
                  <w:color w:val="0000FF"/>
                </w:rPr>
                <w:t>107</w:t>
              </w:r>
            </w:hyperlink>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20" w:type="dxa"/>
            <w:vAlign w:val="bottom"/>
            <w:gridSpan w:val="7"/>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Consolidated Statements of Operations and Comprehensive Income (Loss)</w:t>
              </w:r>
            </w:hyperlink>
          </w:p>
        </w:tc>
        <w:tc>
          <w:tcPr>
            <w:tcW w:w="360" w:type="dxa"/>
            <w:vAlign w:val="bottom"/>
            <w:gridSpan w:val="2"/>
          </w:tcPr>
          <w:p>
            <w:pPr>
              <w:jc w:val="right"/>
              <w:spacing w:after="0"/>
              <w:rPr>
                <w:rFonts w:ascii="Arial" w:cs="Arial" w:eastAsia="Arial" w:hAnsi="Arial"/>
                <w:sz w:val="18"/>
                <w:szCs w:val="18"/>
                <w:color w:val="0000FF"/>
              </w:rPr>
            </w:pPr>
            <w:hyperlink w:anchor="page108">
              <w:r>
                <w:rPr>
                  <w:rFonts w:ascii="Arial" w:cs="Arial" w:eastAsia="Arial" w:hAnsi="Arial"/>
                  <w:sz w:val="18"/>
                  <w:szCs w:val="18"/>
                  <w:color w:val="0000FF"/>
                </w:rPr>
                <w:t>109</w:t>
              </w:r>
            </w:hyperlink>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20" w:type="dxa"/>
            <w:vAlign w:val="bottom"/>
            <w:gridSpan w:val="7"/>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Consolidated Statements of Convertible Preferred Stock and Stockholders’ Equity (Deficit</w:t>
              </w:r>
            </w:hyperlink>
            <w:r>
              <w:rPr>
                <w:rFonts w:ascii="Arial" w:cs="Arial" w:eastAsia="Arial" w:hAnsi="Arial"/>
                <w:sz w:val="18"/>
                <w:szCs w:val="18"/>
                <w:color w:val="000000"/>
              </w:rPr>
              <w:t>)</w:t>
            </w:r>
          </w:p>
        </w:tc>
        <w:tc>
          <w:tcPr>
            <w:tcW w:w="360" w:type="dxa"/>
            <w:vAlign w:val="bottom"/>
            <w:gridSpan w:val="2"/>
          </w:tcPr>
          <w:p>
            <w:pPr>
              <w:jc w:val="right"/>
              <w:spacing w:after="0"/>
              <w:rPr>
                <w:rFonts w:ascii="Arial" w:cs="Arial" w:eastAsia="Arial" w:hAnsi="Arial"/>
                <w:sz w:val="18"/>
                <w:szCs w:val="18"/>
                <w:color w:val="0000FF"/>
              </w:rPr>
            </w:pPr>
            <w:hyperlink w:anchor="page109">
              <w:r>
                <w:rPr>
                  <w:rFonts w:ascii="Arial" w:cs="Arial" w:eastAsia="Arial" w:hAnsi="Arial"/>
                  <w:sz w:val="18"/>
                  <w:szCs w:val="18"/>
                  <w:color w:val="0000FF"/>
                </w:rPr>
                <w:t>109</w:t>
              </w:r>
            </w:hyperlink>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2880" w:type="dxa"/>
            <w:vAlign w:val="bottom"/>
            <w:gridSpan w:val="2"/>
          </w:tcPr>
          <w:p>
            <w:pPr>
              <w:spacing w:after="0"/>
              <w:rPr>
                <w:rFonts w:ascii="Arial" w:cs="Arial" w:eastAsia="Arial" w:hAnsi="Arial"/>
                <w:sz w:val="18"/>
                <w:szCs w:val="18"/>
                <w:color w:val="0000FF"/>
                <w:w w:val="89"/>
              </w:rPr>
            </w:pPr>
            <w:hyperlink w:anchor="page111">
              <w:r>
                <w:rPr>
                  <w:rFonts w:ascii="Arial" w:cs="Arial" w:eastAsia="Arial" w:hAnsi="Arial"/>
                  <w:sz w:val="18"/>
                  <w:szCs w:val="18"/>
                  <w:color w:val="0000FF"/>
                  <w:w w:val="89"/>
                </w:rPr>
                <w:t>Consolidated Statements of Cash Flows</w:t>
              </w:r>
            </w:hyperlink>
          </w:p>
        </w:tc>
        <w:tc>
          <w:tcPr>
            <w:tcW w:w="3640" w:type="dxa"/>
            <w:vAlign w:val="bottom"/>
            <w:gridSpan w:val="4"/>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gridSpan w:val="2"/>
          </w:tcPr>
          <w:p>
            <w:pPr>
              <w:jc w:val="right"/>
              <w:spacing w:after="0"/>
              <w:rPr>
                <w:rFonts w:ascii="Arial" w:cs="Arial" w:eastAsia="Arial" w:hAnsi="Arial"/>
                <w:sz w:val="18"/>
                <w:szCs w:val="18"/>
                <w:color w:val="0000FF"/>
              </w:rPr>
            </w:pPr>
            <w:hyperlink w:anchor="page111">
              <w:r>
                <w:rPr>
                  <w:rFonts w:ascii="Arial" w:cs="Arial" w:eastAsia="Arial" w:hAnsi="Arial"/>
                  <w:sz w:val="18"/>
                  <w:szCs w:val="18"/>
                  <w:color w:val="0000FF"/>
                </w:rPr>
                <w:t>112</w:t>
              </w:r>
            </w:hyperlink>
          </w:p>
        </w:tc>
      </w:tr>
      <w:tr>
        <w:trPr>
          <w:trHeight w:val="20"/>
        </w:trPr>
        <w:tc>
          <w:tcPr>
            <w:tcW w:w="2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3160" w:type="dxa"/>
            <w:vAlign w:val="bottom"/>
            <w:gridSpan w:val="3"/>
          </w:tcPr>
          <w:p>
            <w:pPr>
              <w:spacing w:after="0"/>
              <w:rPr>
                <w:rFonts w:ascii="Arial" w:cs="Arial" w:eastAsia="Arial" w:hAnsi="Arial"/>
                <w:sz w:val="18"/>
                <w:szCs w:val="18"/>
                <w:color w:val="0000FF"/>
                <w:w w:val="89"/>
              </w:rPr>
            </w:pPr>
            <w:hyperlink w:anchor="page113">
              <w:r>
                <w:rPr>
                  <w:rFonts w:ascii="Arial" w:cs="Arial" w:eastAsia="Arial" w:hAnsi="Arial"/>
                  <w:sz w:val="18"/>
                  <w:szCs w:val="18"/>
                  <w:color w:val="0000FF"/>
                  <w:w w:val="89"/>
                </w:rPr>
                <w:t>Notes to Consolidated Financial Statements</w:t>
              </w:r>
            </w:hyperlink>
          </w:p>
        </w:tc>
        <w:tc>
          <w:tcPr>
            <w:tcW w:w="7460" w:type="dxa"/>
            <w:vAlign w:val="bottom"/>
            <w:gridSpan w:val="4"/>
          </w:tcPr>
          <w:p>
            <w:pPr>
              <w:spacing w:after="0"/>
              <w:rPr>
                <w:sz w:val="18"/>
                <w:szCs w:val="18"/>
                <w:color w:val="auto"/>
              </w:rPr>
            </w:pPr>
          </w:p>
        </w:tc>
        <w:tc>
          <w:tcPr>
            <w:tcW w:w="360" w:type="dxa"/>
            <w:vAlign w:val="bottom"/>
            <w:gridSpan w:val="2"/>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114</w:t>
              </w:r>
            </w:hyperlink>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Upstart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audited the accompanying consolidated balance sheets of Upstart Holdings, Inc. and subsidiaries (the “Company”) as of December 31, 2021 and 2020, the related consolidated statements of operations and comprehensive income (loss), changes in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17, 2022,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at Fair Value — Refer to Notes 1 and 4 to the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elected the fair value option for loans, which are valued using unobservable inputs significant to the fair value measurement. As of December 31, 2021, loans at fair value were $252 million. The Company estimates the fair value of these loans using a discounted cash flow model based on the present value of estimated future cash flows. This model uses both observable and unobservable inputs and reflects the Company’s best estimates of the assumptions a market participant would use to calculate fair value. The fair value methodology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jc w:val="both"/>
        <w:spacing w:after="0" w:line="259" w:lineRule="auto"/>
        <w:rPr>
          <w:sz w:val="20"/>
          <w:szCs w:val="20"/>
          <w:color w:val="auto"/>
        </w:rPr>
      </w:pPr>
      <w:r>
        <w:rPr>
          <w:rFonts w:ascii="Arial" w:cs="Arial" w:eastAsia="Arial" w:hAnsi="Arial"/>
          <w:sz w:val="18"/>
          <w:szCs w:val="18"/>
          <w:color w:val="auto"/>
        </w:rPr>
        <w:t>considers projected prepayments, historical defaults, losses and recoveries to project future losses and net cash flows on loans that are discounted using an estimate of market rates of return. Primary inputs that require significant judgment include discount rates, credit risk rates, and expected prepayment rates. These inputs are based on historical performance of loans facilitated through the Company’s platform, as well as management’s consideration of assumptions a market participant would use.</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Given the significant judgments made by management in selecting the unobservable inputs used in estimating the fair value of loans, performing audit procedures to evaluate the reasonableness of management’s judgments related to the selection of discount rates, credit risk rates, and expected prepayment rates required a high degree of auditor judgment and an increased extent of effort, including the need to involve our fair value specialists.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audit procedures related to the unobservable inputs used by management to estimate the fair value of loans included the following, among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others:</w:t>
      </w:r>
    </w:p>
    <w:p>
      <w:pPr>
        <w:spacing w:after="0" w:line="238" w:lineRule="exact"/>
        <w:rPr>
          <w:sz w:val="20"/>
          <w:szCs w:val="20"/>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tested the effectiveness of management’s internal controls relating to the estimation of the fair value of loans, including controls related to management’s selection of the discount rates, credit risk rates, and expected prepayment rates.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developed independent estimates of the fair value of loans and compared our estimates to the Company’s estimates.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management’s ability to accurately estimate the fair value of loans by comparing the transaction price for the sale of loans to management’s fair value estimates.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 Deloitte &amp; Touche LLP</w:t>
      </w:r>
    </w:p>
    <w:p>
      <w:pPr>
        <w:spacing w:after="0" w:line="252" w:lineRule="exact"/>
        <w:rPr>
          <w:rFonts w:ascii="Arial" w:cs="Arial" w:eastAsia="Arial" w:hAnsi="Arial"/>
          <w:sz w:val="18"/>
          <w:szCs w:val="18"/>
          <w:color w:val="auto"/>
        </w:rPr>
      </w:pPr>
    </w:p>
    <w:p>
      <w:pPr>
        <w:ind w:left="660" w:right="8760"/>
        <w:spacing w:after="0" w:line="342" w:lineRule="auto"/>
        <w:rPr>
          <w:rFonts w:ascii="Arial" w:cs="Arial" w:eastAsia="Arial" w:hAnsi="Arial"/>
          <w:sz w:val="18"/>
          <w:szCs w:val="18"/>
          <w:color w:val="auto"/>
        </w:rPr>
      </w:pPr>
      <w:r>
        <w:rPr>
          <w:rFonts w:ascii="Arial" w:cs="Arial" w:eastAsia="Arial" w:hAnsi="Arial"/>
          <w:sz w:val="16"/>
          <w:szCs w:val="16"/>
          <w:color w:val="auto"/>
        </w:rPr>
        <w:t>San Francisco, California February 17, 2022</w:t>
      </w:r>
    </w:p>
    <w:p>
      <w:pPr>
        <w:spacing w:after="0" w:line="15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250,819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986,608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204,633</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Loans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252,477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24,259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96,118</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Non-marketable equity security</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67,062</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19,906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Other assets (includes $6,831 and $18,388 at fair value as of December 31, 2020 and 2021,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121,104</w:t>
            </w:r>
          </w:p>
        </w:tc>
        <w:tc>
          <w:tcPr>
            <w:tcW w:w="0" w:type="dxa"/>
            <w:vAlign w:val="bottom"/>
          </w:tcPr>
          <w:p>
            <w:pPr>
              <w:spacing w:after="0"/>
              <w:rPr>
                <w:sz w:val="1"/>
                <w:szCs w:val="1"/>
                <w:color w:val="auto"/>
              </w:rPr>
            </w:pPr>
          </w:p>
        </w:tc>
      </w:tr>
      <w:tr>
        <w:trPr>
          <w:trHeight w:val="223"/>
        </w:trPr>
        <w:tc>
          <w:tcPr>
            <w:tcW w:w="7860" w:type="dxa"/>
            <w:vAlign w:val="bottom"/>
          </w:tcPr>
          <w:p>
            <w:pPr>
              <w:ind w:left="460"/>
              <w:spacing w:after="0" w:line="223"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(a)</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1,820,455</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Payable to investors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45,501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107,598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695,432</w:t>
            </w:r>
          </w:p>
        </w:tc>
        <w:tc>
          <w:tcPr>
            <w:tcW w:w="0" w:type="dxa"/>
            <w:vAlign w:val="bottom"/>
          </w:tcPr>
          <w:p>
            <w:pPr>
              <w:spacing w:after="0"/>
              <w:rPr>
                <w:sz w:val="1"/>
                <w:szCs w:val="1"/>
                <w:color w:val="auto"/>
              </w:rPr>
            </w:pPr>
          </w:p>
        </w:tc>
      </w:tr>
      <w:tr>
        <w:trPr>
          <w:trHeight w:val="176"/>
        </w:trPr>
        <w:tc>
          <w:tcPr>
            <w:tcW w:w="7860" w:type="dxa"/>
            <w:vAlign w:val="bottom"/>
          </w:tcPr>
          <w:p>
            <w:pPr>
              <w:ind w:left="240"/>
              <w:spacing w:after="0" w:line="176" w:lineRule="exact"/>
              <w:rPr>
                <w:sz w:val="20"/>
                <w:szCs w:val="20"/>
                <w:color w:val="auto"/>
              </w:rPr>
            </w:pPr>
            <w:r>
              <w:rPr>
                <w:rFonts w:ascii="Arial" w:cs="Arial" w:eastAsia="Arial" w:hAnsi="Arial"/>
                <w:sz w:val="18"/>
                <w:szCs w:val="18"/>
                <w:color w:val="auto"/>
                <w:w w:val="94"/>
              </w:rPr>
              <w:t>Accrued expenses and other liabilities (includes $9,530 and $13,095 at fair value as of December 31,</w:t>
            </w:r>
          </w:p>
        </w:tc>
        <w:tc>
          <w:tcPr>
            <w:tcW w:w="2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35,669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103,418</w:t>
            </w: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2020 and 2021, respectively)</w:t>
            </w:r>
          </w:p>
        </w:tc>
        <w:tc>
          <w:tcPr>
            <w:tcW w:w="2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100,366</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460"/>
              <w:spacing w:after="0" w:line="223" w:lineRule="exact"/>
              <w:rPr>
                <w:sz w:val="20"/>
                <w:szCs w:val="20"/>
                <w:color w:val="auto"/>
              </w:rPr>
            </w:pPr>
            <w:r>
              <w:rPr>
                <w:rFonts w:ascii="Arial" w:cs="Arial" w:eastAsia="Arial" w:hAnsi="Arial"/>
                <w:sz w:val="18"/>
                <w:szCs w:val="18"/>
                <w:color w:val="auto"/>
              </w:rPr>
              <w:t>Total liabilities</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1,013,377</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w w:val="94"/>
              </w:rPr>
              <w:t>Common stock, $0.0001 par value; 700,000,000 shares authorized; 73,314,026 and 83,659,665, shares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issued and outstanding as of December 31, 2020 and 2021, respectively</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740,849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66,221</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807,078</w:t>
            </w:r>
          </w:p>
        </w:tc>
        <w:tc>
          <w:tcPr>
            <w:tcW w:w="0" w:type="dxa"/>
            <w:vAlign w:val="bottom"/>
          </w:tcPr>
          <w:p>
            <w:pPr>
              <w:spacing w:after="0"/>
              <w:rPr>
                <w:sz w:val="1"/>
                <w:szCs w:val="1"/>
                <w:color w:val="auto"/>
              </w:rPr>
            </w:pPr>
          </w:p>
        </w:tc>
      </w:tr>
      <w:tr>
        <w:trPr>
          <w:trHeight w:val="223"/>
        </w:trPr>
        <w:tc>
          <w:tcPr>
            <w:tcW w:w="786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1,820,455</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21" w:lineRule="exact"/>
        <w:rPr>
          <w:sz w:val="20"/>
          <w:szCs w:val="20"/>
          <w:color w:val="auto"/>
        </w:rPr>
      </w:pPr>
    </w:p>
    <w:p>
      <w:pPr>
        <w:jc w:val="both"/>
        <w:ind w:left="340" w:hanging="332"/>
        <w:spacing w:after="0" w:line="214" w:lineRule="auto"/>
        <w:tabs>
          <w:tab w:leader="none" w:pos="335" w:val="left"/>
        </w:tabs>
        <w:numPr>
          <w:ilvl w:val="0"/>
          <w:numId w:val="40"/>
        </w:numPr>
        <w:rPr>
          <w:rFonts w:ascii="Arial" w:cs="Arial" w:eastAsia="Arial" w:hAnsi="Arial"/>
          <w:sz w:val="23"/>
          <w:szCs w:val="23"/>
          <w:color w:val="auto"/>
          <w:vertAlign w:val="superscript"/>
        </w:rPr>
      </w:pPr>
      <w:r>
        <w:rPr>
          <w:rFonts w:ascii="Arial" w:cs="Arial" w:eastAsia="Arial" w:hAnsi="Arial"/>
          <w:sz w:val="14"/>
          <w:szCs w:val="14"/>
          <w:color w:val="auto"/>
        </w:rPr>
        <w:t>The following table presents information on assets and liabilities related to variable interest entities (“VIEs”) that are consolidated by Upstart Holdings, Inc. at December 31, 2020 and 2021.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7,700</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79,561</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Loans (at fair value)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75,373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245,972</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and residual certificates (at fair value)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r>
      <w:tr>
        <w:trPr>
          <w:trHeight w:val="248"/>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342,025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48,536</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r>
      <w:tr>
        <w:trPr>
          <w:trHeight w:val="248"/>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79" w:right="339" w:bottom="1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15" w:gutter="0" w:footer="0" w:header="0"/>
          <w:type w:val="continuous"/>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360"/>
              <w:spacing w:after="0"/>
              <w:rPr>
                <w:sz w:val="20"/>
                <w:szCs w:val="20"/>
                <w:color w:val="auto"/>
              </w:rPr>
            </w:pPr>
            <w:r>
              <w:rPr>
                <w:rFonts w:ascii="Arial" w:cs="Arial" w:eastAsia="Arial" w:hAnsi="Arial"/>
                <w:sz w:val="18"/>
                <w:szCs w:val="18"/>
                <w:color w:val="auto"/>
              </w:rPr>
              <w:t>Revenue from fees,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159,847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228,600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801,275</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Interest income and fair value adjustments, net </w:t>
            </w:r>
            <w:r>
              <w:rPr>
                <w:rFonts w:ascii="Arial" w:cs="Arial" w:eastAsia="Arial" w:hAnsi="Arial"/>
                <w:sz w:val="23"/>
                <w:szCs w:val="23"/>
                <w:color w:val="auto"/>
                <w:vertAlign w:val="superscript"/>
              </w:rPr>
              <w:t>(a)</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47,314</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848,589</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333,453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operations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117,579</w:t>
            </w:r>
          </w:p>
        </w:tc>
        <w:tc>
          <w:tcPr>
            <w:tcW w:w="0" w:type="dxa"/>
            <w:vAlign w:val="bottom"/>
          </w:tcPr>
          <w:p>
            <w:pPr>
              <w:spacing w:after="0"/>
              <w:rPr>
                <w:sz w:val="1"/>
                <w:szCs w:val="1"/>
                <w:color w:val="auto"/>
              </w:rPr>
            </w:pPr>
          </w:p>
        </w:tc>
      </w:tr>
      <w:tr>
        <w:trPr>
          <w:trHeight w:val="229"/>
        </w:trPr>
        <w:tc>
          <w:tcPr>
            <w:tcW w:w="6800" w:type="dxa"/>
            <w:vAlign w:val="bottom"/>
          </w:tcPr>
          <w:p>
            <w:pPr>
              <w:ind w:left="360"/>
              <w:spacing w:after="0"/>
              <w:rPr>
                <w:sz w:val="20"/>
                <w:szCs w:val="20"/>
                <w:color w:val="auto"/>
              </w:rPr>
            </w:pPr>
            <w:r>
              <w:rPr>
                <w:rFonts w:ascii="Arial" w:cs="Arial" w:eastAsia="Arial" w:hAnsi="Arial"/>
                <w:sz w:val="18"/>
                <w:szCs w:val="18"/>
                <w:color w:val="auto"/>
              </w:rPr>
              <w:t>Engineering and product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133,999</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administrative, and 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122,677</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221,651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707,708</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140,881</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on warrants and convertible notes,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income (loss) before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133,731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income (loss) before attribution to noncontrolling interests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135,443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Net income (loss) attributable to Upstart Holdings, Inc. common stockholders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135,443</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line="176" w:lineRule="exact"/>
              <w:rPr>
                <w:sz w:val="20"/>
                <w:szCs w:val="20"/>
                <w:color w:val="auto"/>
              </w:rPr>
            </w:pPr>
            <w:r>
              <w:rPr>
                <w:rFonts w:ascii="Arial" w:cs="Arial" w:eastAsia="Arial" w:hAnsi="Arial"/>
                <w:sz w:val="18"/>
                <w:szCs w:val="18"/>
                <w:color w:val="auto"/>
                <w:w w:val="96"/>
              </w:rPr>
              <w:t>Net income (loss) per share attributable to Upstart Holdings, Inc. common stockholders,</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Net income (loss) per share attributable to Upstart Holdings, Inc. common stockholders,</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0"/>
              <w:spacing w:after="0" w:line="176" w:lineRule="exact"/>
              <w:rPr>
                <w:sz w:val="20"/>
                <w:szCs w:val="20"/>
                <w:color w:val="auto"/>
              </w:rPr>
            </w:pPr>
            <w:r>
              <w:rPr>
                <w:rFonts w:ascii="Arial" w:cs="Arial" w:eastAsia="Arial" w:hAnsi="Arial"/>
                <w:sz w:val="18"/>
                <w:szCs w:val="18"/>
                <w:color w:val="auto"/>
                <w:w w:val="94"/>
              </w:rPr>
              <w:t>Weighted-average number of shares outstanding used in computing net income per share</w:t>
            </w: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14,335,611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17,513,670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78,106,359</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(loss) attributable to Upstart Holdings, Inc. common stockholders, basic</w:t>
            </w: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Weighted-average number of shares outstanding used in computing net income (loss) per</w:t>
            </w: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14,335,611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17,513,670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94,772,641</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attributable to Upstart Holdings, Inc. common stockholders, diluted</w:t>
            </w: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50" w:lineRule="exact"/>
        <w:rPr>
          <w:sz w:val="20"/>
          <w:szCs w:val="20"/>
          <w:color w:val="auto"/>
        </w:rPr>
      </w:pPr>
    </w:p>
    <w:p>
      <w:pPr>
        <w:ind w:firstLine="8"/>
        <w:spacing w:after="0" w:line="277" w:lineRule="auto"/>
        <w:tabs>
          <w:tab w:leader="none" w:pos="2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$2,963 and $1,014 from related parties expense and $7,400 and $4,238 of related parties fair value adjustments for the years ended December 31, 2019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Upstart</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740" w:type="dxa"/>
            <w:vAlign w:val="bottom"/>
            <w:tcBorders>
              <w:right w:val="single" w:sz="8" w:color="auto"/>
            </w:tcBorders>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Convertible</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740" w:type="dxa"/>
            <w:vAlign w:val="bottom"/>
            <w:tcBorders>
              <w:right w:val="single" w:sz="8" w:color="auto"/>
            </w:tcBorders>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4"/>
                <w:szCs w:val="4"/>
                <w:color w:val="auto"/>
              </w:rPr>
            </w:pPr>
          </w:p>
        </w:tc>
        <w:tc>
          <w:tcPr>
            <w:tcW w:w="11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restart"/>
          </w:tcPr>
          <w:p>
            <w:pPr>
              <w:jc w:val="center"/>
              <w:ind w:right="28"/>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740" w:type="dxa"/>
            <w:vAlign w:val="bottom"/>
            <w:tcBorders>
              <w:right w:val="single" w:sz="8" w:color="auto"/>
            </w:tcBorders>
            <w:gridSpan w:val="4"/>
            <w:vMerge w:val="restart"/>
          </w:tcPr>
          <w:p>
            <w:pPr>
              <w:jc w:val="right"/>
              <w:ind w:right="328"/>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7"/>
                <w:szCs w:val="7"/>
                <w:color w:val="auto"/>
              </w:rPr>
            </w:pPr>
          </w:p>
        </w:tc>
        <w:tc>
          <w:tcPr>
            <w:tcW w:w="164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80" w:type="dxa"/>
            <w:vAlign w:val="bottom"/>
          </w:tcPr>
          <w:p>
            <w:pPr>
              <w:spacing w:after="0"/>
              <w:rPr>
                <w:sz w:val="9"/>
                <w:szCs w:val="9"/>
                <w:color w:val="auto"/>
              </w:rPr>
            </w:pPr>
          </w:p>
        </w:tc>
        <w:tc>
          <w:tcPr>
            <w:tcW w:w="1740" w:type="dxa"/>
            <w:vAlign w:val="bottom"/>
            <w:tcBorders>
              <w:bottom w:val="single" w:sz="8" w:color="auto"/>
              <w:right w:val="single" w:sz="8" w:color="auto"/>
            </w:tcBorders>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60" w:type="dxa"/>
            <w:vAlign w:val="bottom"/>
            <w:gridSpan w:val="2"/>
          </w:tcPr>
          <w:p>
            <w:pPr>
              <w:jc w:val="center"/>
              <w:ind w:right="160"/>
              <w:spacing w:after="0" w:line="107"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9"/>
                <w:szCs w:val="9"/>
                <w:color w:val="auto"/>
              </w:rPr>
            </w:pPr>
          </w:p>
        </w:tc>
        <w:tc>
          <w:tcPr>
            <w:tcW w:w="110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Equity</w:t>
            </w:r>
          </w:p>
        </w:tc>
        <w:tc>
          <w:tcPr>
            <w:tcW w:w="100" w:type="dxa"/>
            <w:vAlign w:val="bottom"/>
          </w:tcPr>
          <w:p>
            <w:pPr>
              <w:spacing w:after="0"/>
              <w:rPr>
                <w:sz w:val="9"/>
                <w:szCs w:val="9"/>
                <w:color w:val="auto"/>
              </w:rPr>
            </w:pPr>
          </w:p>
        </w:tc>
        <w:tc>
          <w:tcPr>
            <w:tcW w:w="11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9"/>
                <w:szCs w:val="9"/>
                <w:color w:val="auto"/>
              </w:rPr>
            </w:pPr>
          </w:p>
        </w:tc>
        <w:tc>
          <w:tcPr>
            <w:tcW w:w="980" w:type="dxa"/>
            <w:vAlign w:val="bottom"/>
          </w:tcPr>
          <w:p>
            <w:pPr>
              <w:jc w:val="center"/>
              <w:ind w:right="48"/>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660" w:type="dxa"/>
            <w:vAlign w:val="bottom"/>
            <w:tcBorders>
              <w:right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Interest</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64"/>
        </w:trPr>
        <w:tc>
          <w:tcPr>
            <w:tcW w:w="208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w w:val="92"/>
              </w:rPr>
              <w:t>Balance as of December 31,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46,882,877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157,923</w:t>
            </w: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12,991,270</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8,406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(75,078)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(66,671)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12,001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(54,670)</w:t>
            </w: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Issuance of Series D convertible</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preferred stock, net of issuance</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444,428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3,992</w:t>
            </w:r>
          </w:p>
        </w:tc>
        <w:tc>
          <w:tcPr>
            <w:tcW w:w="6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costs of $8</w:t>
            </w: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Series B convertible</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preferred stock upon exercise of</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convertible preferred stock</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300,103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1,631</w:t>
            </w:r>
          </w:p>
        </w:tc>
        <w:tc>
          <w:tcPr>
            <w:tcW w:w="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Repurchase and retirement of</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Series C convertible preferred</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(277,831)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stock</w:t>
            </w: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Exercise of common stock</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1,297,884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272,244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 compensation</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Return of capital to interests in</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(4,960)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(4,960)</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consolidated VIEs</w:t>
            </w: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Deconsolidation of interests in</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VIEs</w:t>
            </w: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(5,020)</w:t>
            </w:r>
          </w:p>
        </w:tc>
        <w:tc>
          <w:tcPr>
            <w:tcW w:w="0" w:type="dxa"/>
            <w:vAlign w:val="bottom"/>
          </w:tcPr>
          <w:p>
            <w:pPr>
              <w:spacing w:after="0"/>
              <w:rPr>
                <w:sz w:val="1"/>
                <w:szCs w:val="1"/>
                <w:color w:val="auto"/>
              </w:rPr>
            </w:pPr>
          </w:p>
        </w:tc>
      </w:tr>
      <w:tr>
        <w:trPr>
          <w:trHeight w:val="186"/>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2"/>
              </w:rPr>
              <w:t>Balance as of December 31,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47,349,577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162,546</w:t>
            </w:r>
          </w:p>
        </w:tc>
        <w:tc>
          <w:tcPr>
            <w:tcW w:w="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14,561,398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12,489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(75,205)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(62,714)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(61,688)</w:t>
            </w: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Conversion of convertible</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preferred stock to common stock</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(47,349,577)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(162,546)</w:t>
            </w:r>
          </w:p>
        </w:tc>
        <w:tc>
          <w:tcPr>
            <w:tcW w:w="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47,349,577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162,542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162,546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162,546</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upon initial public offering</w:t>
            </w: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upon</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initial public offering, net of</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underwriting discounts,</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159,487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159,488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159,488</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commissions, and offering costs</w:t>
            </w: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1,284,468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2,362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2,362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2,362</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in</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connection with an incentive</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6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282,750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agreement</w:t>
            </w: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Exercise of convertible preferred</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w w:val="98"/>
              </w:rPr>
              <w:t>stock warrant into preferred stock</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and issuance of common stock</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600,208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12,183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12,183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12,183</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upon initial public offering</w:t>
            </w: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Exercise of common stock</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235,625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2,971</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Reclass of warrant liability upon</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color w:val="auto"/>
              </w:rPr>
              <w:t>termination of repurchase</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6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2,945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2,945</w:t>
            </w: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obligation</w:t>
            </w: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 compensation</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12,005</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Incentive share expense</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38"/>
        </w:trPr>
        <w:tc>
          <w:tcPr>
            <w:tcW w:w="20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Return of capital on interest in</w:t>
            </w: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VIEs</w:t>
            </w: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5,983</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 (Deficit)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Total Upstart</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400" w:type="dxa"/>
            <w:vAlign w:val="bottom"/>
            <w:gridSpan w:val="4"/>
            <w:vMerge w:val="restart"/>
          </w:tcPr>
          <w:p>
            <w:pPr>
              <w:jc w:val="right"/>
              <w:ind w:right="128"/>
              <w:spacing w:after="0"/>
              <w:rPr>
                <w:sz w:val="20"/>
                <w:szCs w:val="20"/>
                <w:color w:val="auto"/>
              </w:rPr>
            </w:pPr>
            <w:r>
              <w:rPr>
                <w:rFonts w:ascii="Arial" w:cs="Arial" w:eastAsia="Arial" w:hAnsi="Arial"/>
                <w:sz w:val="14"/>
                <w:szCs w:val="14"/>
                <w:b w:val="1"/>
                <w:bCs w:val="1"/>
                <w:color w:val="auto"/>
              </w:rPr>
              <w:t>Convertible</w:t>
            </w:r>
          </w:p>
        </w:tc>
        <w:tc>
          <w:tcPr>
            <w:tcW w:w="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Holdings, Inc.</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80" w:type="dxa"/>
            <w:vAlign w:val="bottom"/>
          </w:tcPr>
          <w:p>
            <w:pPr>
              <w:spacing w:after="0"/>
              <w:rPr>
                <w:sz w:val="4"/>
                <w:szCs w:val="4"/>
                <w:color w:val="auto"/>
              </w:rPr>
            </w:pPr>
          </w:p>
        </w:tc>
        <w:tc>
          <w:tcPr>
            <w:tcW w:w="1400" w:type="dxa"/>
            <w:vAlign w:val="bottom"/>
            <w:gridSpan w:val="4"/>
            <w:vMerge w:val="continue"/>
          </w:tcPr>
          <w:p>
            <w:pPr>
              <w:spacing w:after="0"/>
              <w:rPr>
                <w:sz w:val="4"/>
                <w:szCs w:val="4"/>
                <w:color w:val="auto"/>
              </w:rPr>
            </w:pPr>
          </w:p>
        </w:tc>
        <w:tc>
          <w:tcPr>
            <w:tcW w:w="3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4"/>
                <w:szCs w:val="4"/>
                <w:color w:val="auto"/>
              </w:rPr>
            </w:pPr>
          </w:p>
        </w:tc>
        <w:tc>
          <w:tcPr>
            <w:tcW w:w="10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center"/>
              <w:ind w:right="49"/>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32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80" w:type="dxa"/>
            <w:vAlign w:val="bottom"/>
          </w:tcPr>
          <w:p>
            <w:pPr>
              <w:spacing w:after="0"/>
              <w:rPr>
                <w:sz w:val="9"/>
                <w:szCs w:val="9"/>
                <w:color w:val="auto"/>
              </w:rPr>
            </w:pPr>
          </w:p>
        </w:tc>
        <w:tc>
          <w:tcPr>
            <w:tcW w:w="1400" w:type="dxa"/>
            <w:vAlign w:val="bottom"/>
            <w:tcBorders>
              <w:bottom w:val="single" w:sz="8" w:color="auto"/>
            </w:tcBorders>
            <w:gridSpan w:val="4"/>
            <w:vMerge w:val="continue"/>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9"/>
                <w:szCs w:val="9"/>
                <w:color w:val="auto"/>
              </w:rPr>
            </w:pPr>
          </w:p>
        </w:tc>
        <w:tc>
          <w:tcPr>
            <w:tcW w:w="1060" w:type="dxa"/>
            <w:vAlign w:val="bottom"/>
            <w:gridSpan w:val="2"/>
          </w:tcPr>
          <w:p>
            <w:pPr>
              <w:jc w:val="center"/>
              <w:ind w:right="160"/>
              <w:spacing w:after="0" w:line="107"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08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Equity</w:t>
            </w:r>
          </w:p>
        </w:tc>
        <w:tc>
          <w:tcPr>
            <w:tcW w:w="100" w:type="dxa"/>
            <w:vAlign w:val="bottom"/>
          </w:tcPr>
          <w:p>
            <w:pPr>
              <w:spacing w:after="0"/>
              <w:rPr>
                <w:sz w:val="9"/>
                <w:szCs w:val="9"/>
                <w:color w:val="auto"/>
              </w:rPr>
            </w:pPr>
          </w:p>
        </w:tc>
        <w:tc>
          <w:tcPr>
            <w:tcW w:w="116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9"/>
                <w:szCs w:val="9"/>
                <w:color w:val="auto"/>
              </w:rPr>
            </w:pPr>
          </w:p>
        </w:tc>
        <w:tc>
          <w:tcPr>
            <w:tcW w:w="1000" w:type="dxa"/>
            <w:vAlign w:val="bottom"/>
          </w:tcPr>
          <w:p>
            <w:pPr>
              <w:jc w:val="center"/>
              <w:ind w:right="29"/>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60" w:type="dxa"/>
            <w:vAlign w:val="bottom"/>
            <w:gridSpan w:val="2"/>
          </w:tcPr>
          <w:p>
            <w:pPr>
              <w:spacing w:after="0"/>
              <w:rPr>
                <w:sz w:val="17"/>
                <w:szCs w:val="17"/>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Interest</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84"/>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2"/>
              </w:rPr>
              <w:t>Balance as of December 31, 2020</w:t>
            </w: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CCEEFF"/>
            </w:tcBorders>
            <w:gridSpan w:val="2"/>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73,314,026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369,467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(69,222)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300,252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300,252</w:t>
            </w: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upon</w:t>
            </w: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7,047,722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14,736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14,736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14,736</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3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upon</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32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settlement of restricted stock units</w:t>
            </w:r>
          </w:p>
        </w:tc>
        <w:tc>
          <w:tcPr>
            <w:tcW w:w="3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gridSpan w:val="2"/>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Exercise of common stock</w:t>
            </w: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72,407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warrants</w:t>
            </w:r>
          </w:p>
        </w:tc>
        <w:tc>
          <w:tcPr>
            <w:tcW w:w="3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 compensation</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32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76,327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76,327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76,327</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3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gridSpan w:val="2"/>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Shares withheld related to net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 settlement of restricted stock</w:t>
            </w: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units</w:t>
            </w:r>
          </w:p>
        </w:tc>
        <w:tc>
          <w:tcPr>
            <w:tcW w:w="3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in</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32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650,740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71,003</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connection with acquisition</w:t>
            </w:r>
          </w:p>
        </w:tc>
        <w:tc>
          <w:tcPr>
            <w:tcW w:w="3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gridSpan w:val="2"/>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Issuance of common stock 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connection with follow-on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offering, net of underwriting</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discounts, commissions, and</w:t>
            </w: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1"/>
                <w:szCs w:val="11"/>
                <w:color w:val="auto"/>
              </w:rPr>
            </w:pPr>
          </w:p>
        </w:tc>
        <w:tc>
          <w:tcPr>
            <w:tcW w:w="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2,300,000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263,930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263,931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263,931</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offering costs</w:t>
            </w:r>
          </w:p>
        </w:tc>
        <w:tc>
          <w:tcPr>
            <w:tcW w:w="3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 under</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320" w:type="dxa"/>
            <w:vAlign w:val="bottom"/>
            <w:tcBorders>
              <w:right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243,725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4,145</w:t>
            </w:r>
          </w:p>
        </w:tc>
        <w:tc>
          <w:tcPr>
            <w:tcW w:w="0" w:type="dxa"/>
            <w:vAlign w:val="bottom"/>
          </w:tcPr>
          <w:p>
            <w:pPr>
              <w:spacing w:after="0"/>
              <w:rPr>
                <w:sz w:val="1"/>
                <w:szCs w:val="1"/>
                <w:color w:val="auto"/>
              </w:rPr>
            </w:pPr>
          </w:p>
        </w:tc>
      </w:tr>
      <w:tr>
        <w:trPr>
          <w:trHeight w:val="18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30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gridSpan w:val="2"/>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Purchase of capped calls</w:t>
            </w: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32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(58,523)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(58,523)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(58,523)</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6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gridSpan w:val="2"/>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135,443</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135,443</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135,443</w:t>
            </w:r>
          </w:p>
        </w:tc>
        <w:tc>
          <w:tcPr>
            <w:tcW w:w="0" w:type="dxa"/>
            <w:vAlign w:val="bottom"/>
          </w:tcPr>
          <w:p>
            <w:pPr>
              <w:spacing w:after="0"/>
              <w:rPr>
                <w:sz w:val="1"/>
                <w:szCs w:val="1"/>
                <w:color w:val="auto"/>
              </w:rPr>
            </w:pPr>
          </w:p>
        </w:tc>
      </w:tr>
      <w:tr>
        <w:trPr>
          <w:trHeight w:val="186"/>
        </w:trPr>
        <w:tc>
          <w:tcPr>
            <w:tcW w:w="27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December 30, 2021</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320" w:type="dxa"/>
            <w:vAlign w:val="bottom"/>
            <w:tcBorders>
              <w:right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60" w:type="dxa"/>
            <w:vAlign w:val="bottom"/>
            <w:gridSpan w:val="2"/>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83,659,665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740,849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66,221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807,078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gridSpan w:val="2"/>
          </w:tcPr>
          <w:p>
            <w:pPr>
              <w:ind w:left="8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807,078</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Net income (loss) before attribution to noncontrolling interests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5,579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135,443</w:t>
            </w:r>
          </w:p>
        </w:tc>
        <w:tc>
          <w:tcPr>
            <w:tcW w:w="0" w:type="dxa"/>
            <w:vAlign w:val="bottom"/>
          </w:tcPr>
          <w:p>
            <w:pPr>
              <w:spacing w:after="0"/>
              <w:rPr>
                <w:sz w:val="1"/>
                <w:szCs w:val="1"/>
                <w:color w:val="auto"/>
              </w:rPr>
            </w:pPr>
          </w:p>
        </w:tc>
      </w:tr>
      <w:tr>
        <w:trPr>
          <w:trHeight w:val="250"/>
        </w:trPr>
        <w:tc>
          <w:tcPr>
            <w:tcW w:w="6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Change in fair value of financial instruments </w:t>
            </w:r>
            <w:r>
              <w:rPr>
                <w:rFonts w:ascii="Arial" w:cs="Arial" w:eastAsia="Arial" w:hAnsi="Arial"/>
                <w:sz w:val="23"/>
                <w:szCs w:val="23"/>
                <w:color w:val="auto"/>
                <w:vertAlign w:val="superscript"/>
              </w:rPr>
              <w:t>(a)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73,186</w:t>
            </w:r>
          </w:p>
        </w:tc>
        <w:tc>
          <w:tcPr>
            <w:tcW w:w="0" w:type="dxa"/>
            <w:vAlign w:val="bottom"/>
          </w:tcPr>
          <w:p>
            <w:pPr>
              <w:spacing w:after="0"/>
              <w:rPr>
                <w:sz w:val="1"/>
                <w:szCs w:val="1"/>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w w:val="99"/>
              </w:rPr>
              <w:t>Loss (gain) on loan servicing arrangements and sale of noncontrolling interests,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29"/>
        </w:trPr>
        <w:tc>
          <w:tcPr>
            <w:tcW w:w="6880" w:type="dxa"/>
            <w:vAlign w:val="bottom"/>
          </w:tcPr>
          <w:p>
            <w:pPr>
              <w:ind w:left="240"/>
              <w:spacing w:after="0"/>
              <w:rPr>
                <w:sz w:val="20"/>
                <w:szCs w:val="20"/>
                <w:color w:val="auto"/>
              </w:rPr>
            </w:pPr>
            <w:r>
              <w:rPr>
                <w:rFonts w:ascii="Arial" w:cs="Arial" w:eastAsia="Arial" w:hAnsi="Arial"/>
                <w:sz w:val="18"/>
                <w:szCs w:val="18"/>
                <w:color w:val="auto"/>
              </w:rPr>
              <w:t>Incentive share expense</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29"/>
        </w:trPr>
        <w:tc>
          <w:tcPr>
            <w:tcW w:w="6880" w:type="dxa"/>
            <w:vAlign w:val="bottom"/>
          </w:tcPr>
          <w:p>
            <w:pPr>
              <w:ind w:left="240"/>
              <w:spacing w:after="0"/>
              <w:rPr>
                <w:sz w:val="20"/>
                <w:szCs w:val="20"/>
                <w:color w:val="auto"/>
              </w:rPr>
            </w:pPr>
            <w:r>
              <w:rPr>
                <w:rFonts w:ascii="Arial" w:cs="Arial" w:eastAsia="Arial" w:hAnsi="Arial"/>
                <w:sz w:val="18"/>
                <w:szCs w:val="18"/>
                <w:color w:val="auto"/>
              </w:rPr>
              <w:t>Gain on repurchased and retired convertible preferred stock warrants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changes in operating assets and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360"/>
              <w:spacing w:after="0"/>
              <w:rPr>
                <w:sz w:val="20"/>
                <w:szCs w:val="20"/>
                <w:color w:val="auto"/>
              </w:rPr>
            </w:pPr>
            <w:r>
              <w:rPr>
                <w:rFonts w:ascii="Arial" w:cs="Arial" w:eastAsia="Arial" w:hAnsi="Arial"/>
                <w:sz w:val="18"/>
                <w:szCs w:val="18"/>
                <w:color w:val="auto"/>
              </w:rPr>
              <w:t>Purchase of loans for immediate resale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(1,779,180)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(2,540,948)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(8,713,476)</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immediate resale of loans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2,540,948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8,713,476</w:t>
            </w: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Purchase of loans held-for-sale</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(116,127)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(219,128)</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received for loans held-for-sale</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0" w:type="dxa"/>
            <w:vAlign w:val="bottom"/>
          </w:tcPr>
          <w:p>
            <w:pPr>
              <w:spacing w:after="0"/>
              <w:rPr>
                <w:sz w:val="1"/>
                <w:szCs w:val="1"/>
                <w:color w:val="auto"/>
              </w:rPr>
            </w:pPr>
          </w:p>
        </w:tc>
      </w:tr>
      <w:tr>
        <w:trPr>
          <w:trHeight w:val="229"/>
        </w:trPr>
        <w:tc>
          <w:tcPr>
            <w:tcW w:w="6880" w:type="dxa"/>
            <w:vAlign w:val="bottom"/>
          </w:tcPr>
          <w:p>
            <w:pPr>
              <w:ind w:left="360"/>
              <w:spacing w:after="0"/>
              <w:rPr>
                <w:sz w:val="20"/>
                <w:szCs w:val="20"/>
                <w:color w:val="auto"/>
              </w:rPr>
            </w:pPr>
            <w:r>
              <w:rPr>
                <w:rFonts w:ascii="Arial" w:cs="Arial" w:eastAsia="Arial" w:hAnsi="Arial"/>
                <w:sz w:val="18"/>
                <w:szCs w:val="18"/>
                <w:color w:val="auto"/>
              </w:rPr>
              <w:t>Net proceeds from sale of loans held-for-sale</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112,569</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(62,042)</w:t>
            </w:r>
          </w:p>
        </w:tc>
        <w:tc>
          <w:tcPr>
            <w:tcW w:w="0" w:type="dxa"/>
            <w:vAlign w:val="bottom"/>
          </w:tcPr>
          <w:p>
            <w:pPr>
              <w:spacing w:after="0"/>
              <w:rPr>
                <w:sz w:val="1"/>
                <w:szCs w:val="1"/>
                <w:color w:val="auto"/>
              </w:rPr>
            </w:pPr>
          </w:p>
        </w:tc>
      </w:tr>
      <w:tr>
        <w:trPr>
          <w:trHeight w:val="229"/>
        </w:trPr>
        <w:tc>
          <w:tcPr>
            <w:tcW w:w="6880" w:type="dxa"/>
            <w:vAlign w:val="bottom"/>
          </w:tcPr>
          <w:p>
            <w:pPr>
              <w:ind w:left="360"/>
              <w:spacing w:after="0"/>
              <w:rPr>
                <w:sz w:val="20"/>
                <w:szCs w:val="20"/>
                <w:color w:val="auto"/>
              </w:rPr>
            </w:pPr>
            <w:r>
              <w:rPr>
                <w:rFonts w:ascii="Arial" w:cs="Arial" w:eastAsia="Arial" w:hAnsi="Arial"/>
                <w:sz w:val="18"/>
                <w:szCs w:val="18"/>
                <w:color w:val="auto"/>
              </w:rPr>
              <w:t>Operating lease liability and right-of-use asset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30"/>
        </w:trPr>
        <w:tc>
          <w:tcPr>
            <w:tcW w:w="6880" w:type="dxa"/>
            <w:vAlign w:val="bottom"/>
          </w:tcPr>
          <w:p>
            <w:pPr>
              <w:ind w:left="360"/>
              <w:spacing w:after="0"/>
              <w:rPr>
                <w:sz w:val="20"/>
                <w:szCs w:val="20"/>
                <w:color w:val="auto"/>
              </w:rPr>
            </w:pPr>
            <w:r>
              <w:rPr>
                <w:rFonts w:ascii="Arial" w:cs="Arial" w:eastAsia="Arial" w:hAnsi="Arial"/>
                <w:sz w:val="18"/>
                <w:szCs w:val="18"/>
                <w:color w:val="auto"/>
              </w:rPr>
              <w:t>Payable to investors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62,097</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59,576</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168,353</w:t>
            </w: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 received for loans held by consolidated securitizations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80" w:type="dxa"/>
            <w:vAlign w:val="bottom"/>
          </w:tcPr>
          <w:p>
            <w:pPr>
              <w:ind w:left="240"/>
              <w:spacing w:after="0"/>
              <w:rPr>
                <w:sz w:val="20"/>
                <w:szCs w:val="20"/>
                <w:color w:val="auto"/>
              </w:rPr>
            </w:pPr>
            <w:r>
              <w:rPr>
                <w:rFonts w:ascii="Arial" w:cs="Arial" w:eastAsia="Arial" w:hAnsi="Arial"/>
                <w:sz w:val="18"/>
                <w:szCs w:val="18"/>
                <w:color w:val="auto"/>
              </w:rPr>
              <w:t>Net proceeds from sale of loans held-for-investment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97,340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51,403</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payments received for loans held-for-investment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24,532</w:t>
            </w:r>
          </w:p>
        </w:tc>
        <w:tc>
          <w:tcPr>
            <w:tcW w:w="0" w:type="dxa"/>
            <w:vAlign w:val="bottom"/>
          </w:tcPr>
          <w:p>
            <w:pPr>
              <w:spacing w:after="0"/>
              <w:rPr>
                <w:sz w:val="1"/>
                <w:szCs w:val="1"/>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w w:val="94"/>
              </w:rPr>
              <w:t>Principal payments received for notes receivable and repayments of residual certificates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11,458</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loans held-for-investment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(159,398)</w:t>
            </w:r>
          </w:p>
        </w:tc>
        <w:tc>
          <w:tcPr>
            <w:tcW w:w="0" w:type="dxa"/>
            <w:vAlign w:val="bottom"/>
          </w:tcPr>
          <w:p>
            <w:pPr>
              <w:spacing w:after="0"/>
              <w:rPr>
                <w:sz w:val="1"/>
                <w:szCs w:val="1"/>
                <w:color w:val="auto"/>
              </w:rPr>
            </w:pPr>
          </w:p>
        </w:tc>
      </w:tr>
      <w:tr>
        <w:trPr>
          <w:trHeight w:val="229"/>
        </w:trPr>
        <w:tc>
          <w:tcPr>
            <w:tcW w:w="6880" w:type="dxa"/>
            <w:vAlign w:val="bottom"/>
          </w:tcPr>
          <w:p>
            <w:pPr>
              <w:ind w:left="240"/>
              <w:spacing w:after="0"/>
              <w:rPr>
                <w:sz w:val="20"/>
                <w:szCs w:val="20"/>
                <w:color w:val="auto"/>
              </w:rPr>
            </w:pPr>
            <w:r>
              <w:rPr>
                <w:rFonts w:ascii="Arial" w:cs="Arial" w:eastAsia="Arial" w:hAnsi="Arial"/>
                <w:sz w:val="18"/>
                <w:szCs w:val="18"/>
                <w:color w:val="auto"/>
              </w:rPr>
              <w:t>Purchase of non-marketable equity security</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notes receivable and residual certificates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rPr>
              <w:t>Purchase of 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 software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rPr>
              <w:t>Acquisition, net of cash acquired</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(16,757)</w:t>
            </w:r>
          </w:p>
        </w:tc>
        <w:tc>
          <w:tcPr>
            <w:tcW w:w="0" w:type="dxa"/>
            <w:vAlign w:val="bottom"/>
          </w:tcPr>
          <w:p>
            <w:pPr>
              <w:spacing w:after="0"/>
              <w:rPr>
                <w:sz w:val="1"/>
                <w:szCs w:val="1"/>
                <w:color w:val="auto"/>
              </w:rPr>
            </w:pPr>
          </w:p>
        </w:tc>
      </w:tr>
      <w:tr>
        <w:trPr>
          <w:trHeight w:val="223"/>
        </w:trPr>
        <w:tc>
          <w:tcPr>
            <w:tcW w:w="68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136,517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(143,877)</w:t>
            </w:r>
          </w:p>
        </w:tc>
        <w:tc>
          <w:tcPr>
            <w:tcW w:w="0" w:type="dxa"/>
            <w:vAlign w:val="bottom"/>
          </w:tcPr>
          <w:p>
            <w:pPr>
              <w:spacing w:after="0"/>
              <w:rPr>
                <w:sz w:val="1"/>
                <w:szCs w:val="1"/>
                <w:color w:val="auto"/>
              </w:rPr>
            </w:pPr>
          </w:p>
        </w:tc>
      </w:tr>
      <w:tr>
        <w:trPr>
          <w:trHeight w:val="196"/>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w w:val="99"/>
              </w:rPr>
              <w:t>Proceeds from initial public offering, net of underwriting discounts and offering costs</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159,488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8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Proceeds from secondary offering, net of underwriting discounts, commissions, and</w:t>
            </w:r>
          </w:p>
        </w:tc>
        <w:tc>
          <w:tcPr>
            <w:tcW w:w="3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263,931</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offering costs</w:t>
            </w:r>
          </w:p>
        </w:tc>
        <w:tc>
          <w:tcPr>
            <w:tcW w:w="3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rPr>
              <w:t>Proceeds from borrowings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153,491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92,057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718,422</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debt issuance costs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880" w:type="dxa"/>
            <w:vAlign w:val="bottom"/>
          </w:tcPr>
          <w:p>
            <w:pPr>
              <w:ind w:left="240"/>
              <w:spacing w:after="0"/>
              <w:rPr>
                <w:sz w:val="20"/>
                <w:szCs w:val="20"/>
                <w:color w:val="auto"/>
              </w:rPr>
            </w:pPr>
            <w:r>
              <w:rPr>
                <w:rFonts w:ascii="Arial" w:cs="Arial" w:eastAsia="Arial" w:hAnsi="Arial"/>
                <w:sz w:val="18"/>
                <w:szCs w:val="18"/>
                <w:color w:val="auto"/>
              </w:rPr>
              <w:t>Purchase of capped calls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(58,523)</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 paid related to net share settlement of equity awards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688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Payments made on securitization notes and certificates </w:t>
            </w:r>
            <w:r>
              <w:rPr>
                <w:rFonts w:ascii="Arial" w:cs="Arial" w:eastAsia="Arial" w:hAnsi="Arial"/>
                <w:sz w:val="23"/>
                <w:szCs w:val="23"/>
                <w:color w:val="auto"/>
                <w:vertAlign w:val="superscript"/>
              </w:rPr>
              <w:t>(b)</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(176,742)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Repayments of borrowings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(71,316)</w:t>
            </w:r>
          </w:p>
        </w:tc>
        <w:tc>
          <w:tcPr>
            <w:tcW w:w="0" w:type="dxa"/>
            <w:vAlign w:val="bottom"/>
          </w:tcPr>
          <w:p>
            <w:pPr>
              <w:spacing w:after="0"/>
              <w:rPr>
                <w:sz w:val="1"/>
                <w:szCs w:val="1"/>
                <w:color w:val="auto"/>
              </w:rPr>
            </w:pPr>
          </w:p>
        </w:tc>
      </w:tr>
      <w:tr>
        <w:trPr>
          <w:trHeight w:val="229"/>
        </w:trPr>
        <w:tc>
          <w:tcPr>
            <w:tcW w:w="6880" w:type="dxa"/>
            <w:vAlign w:val="bottom"/>
          </w:tcPr>
          <w:p>
            <w:pPr>
              <w:ind w:left="240"/>
              <w:spacing w:after="0"/>
              <w:rPr>
                <w:sz w:val="20"/>
                <w:szCs w:val="20"/>
                <w:color w:val="auto"/>
              </w:rPr>
            </w:pPr>
            <w:r>
              <w:rPr>
                <w:rFonts w:ascii="Arial" w:cs="Arial" w:eastAsia="Arial" w:hAnsi="Arial"/>
                <w:sz w:val="18"/>
                <w:szCs w:val="18"/>
                <w:color w:val="auto"/>
              </w:rPr>
              <w:t>Repayments of notes payable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 made to noncontrolling interests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ind w:left="240"/>
              <w:spacing w:after="0"/>
              <w:rPr>
                <w:sz w:val="20"/>
                <w:szCs w:val="20"/>
                <w:color w:val="auto"/>
              </w:rPr>
            </w:pPr>
            <w:r>
              <w:rPr>
                <w:rFonts w:ascii="Arial" w:cs="Arial" w:eastAsia="Arial" w:hAnsi="Arial"/>
                <w:sz w:val="18"/>
                <w:szCs w:val="18"/>
                <w:color w:val="auto"/>
              </w:rPr>
              <w:t>Repurchase and retirement of convertible preferred stock warrants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and retirement of convertible preferred stock</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80" w:type="dxa"/>
            <w:vAlign w:val="bottom"/>
          </w:tcPr>
          <w:p>
            <w:pPr>
              <w:ind w:left="240"/>
              <w:spacing w:after="0"/>
              <w:rPr>
                <w:sz w:val="20"/>
                <w:szCs w:val="20"/>
                <w:color w:val="auto"/>
              </w:rPr>
            </w:pPr>
            <w:r>
              <w:rPr>
                <w:rFonts w:ascii="Arial" w:cs="Arial" w:eastAsia="Arial" w:hAnsi="Arial"/>
                <w:sz w:val="18"/>
                <w:szCs w:val="18"/>
                <w:color w:val="auto"/>
              </w:rPr>
              <w:t>Proceeds from issuance of notes payable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80" w:type="dxa"/>
            <w:vAlign w:val="bottom"/>
          </w:tcPr>
          <w:p>
            <w:pPr>
              <w:ind w:left="240"/>
              <w:spacing w:after="0"/>
              <w:rPr>
                <w:sz w:val="20"/>
                <w:szCs w:val="20"/>
                <w:color w:val="auto"/>
              </w:rPr>
            </w:pPr>
            <w:r>
              <w:rPr>
                <w:rFonts w:ascii="Arial" w:cs="Arial" w:eastAsia="Arial" w:hAnsi="Arial"/>
                <w:sz w:val="18"/>
                <w:szCs w:val="18"/>
                <w:color w:val="auto"/>
              </w:rPr>
              <w:t>Proceeds from exercise of convertible preferred stock warrants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14,736</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79,052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855,432</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and restricted cash</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231,266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879,908</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80,067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311,333</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Cash and restricted cash at end of year</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311,333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1,191,241</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of common stock warrant liability related to cashless exercise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Reclassification of preferred stock warrant liability related to cash exercise</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12,177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Reclassification of common stock warrant liability to equity upon termination of repurchase</w:t>
            </w:r>
          </w:p>
        </w:tc>
        <w:tc>
          <w:tcPr>
            <w:tcW w:w="3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w:t>
            </w:r>
          </w:p>
        </w:tc>
        <w:tc>
          <w:tcPr>
            <w:tcW w:w="3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Issuance of common stock in connection with acquisition</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80,256</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Derecognition of loans held-for-investment in consolidated VIE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8"/>
                <w:szCs w:val="18"/>
                <w:color w:val="auto"/>
              </w:rPr>
              <w:t>Derecognition of payable to securitization note holders and residual certificate holders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58,017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Derecognition of notes payable held in consolidated VIE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Securities retained under unconsolidated securitization transactions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of notes receivable and residual certificate on deconsolidation of VIE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3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63" w:lineRule="exact"/>
        <w:rPr>
          <w:sz w:val="20"/>
          <w:szCs w:val="20"/>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$(7,400) and $(4,238) from related parties for the years ended December 31, 2019 and 2020, respectively.</w:t>
      </w:r>
    </w:p>
    <w:p>
      <w:pPr>
        <w:spacing w:after="0" w:line="63" w:lineRule="exact"/>
        <w:rPr>
          <w:rFonts w:ascii="Arial" w:cs="Arial" w:eastAsia="Arial" w:hAnsi="Arial"/>
          <w:sz w:val="18"/>
          <w:szCs w:val="18"/>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$3,262 and $1,034 paid to related parties for the years ended December 31, 2019 and 2020, respectively.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Upstart Holdings, Inc. and its subsidiaries (together “Upstart”, the “Company”, “we”, or “our”) apply modern data science and technology to the process of originating consumer credit. The Company helps bank partners originate credit, including personal and auto loans, by providing bank partners with a proprietary, cloud-based, artificial intelligence lending platform. As the Company’s technology continues to improve and additional banks adopt the Upstart platform, consumers benefit from improved access to affordable and frictionless credit. The Company currently operates in the United States and is headquartered in San Mateo, California and Columbus, Ohio. The Company’s fiscal year ends on December 31.</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of America (“GAAP”) and include the accounts of the Company, its wholly-owned subsidiaries, and consolidated variable interest entities (“VIEs”). All intercompany accounts and transactions have been eliminated. The Company’s functional and reporting currency is the U.S. dollar.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December 16, 2020, the Company completed an initial public offering (“IPO”), in which 9,000,000 shares of common stock were issued and sold at $20.00 per share, resulting in net proceeds of $167.4 million after deducting underwriting discounts and commissions of $12.6 million.</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November 2020, the outstanding Series B preferred stock warrant was exercised to purchase 600,208 shares of preferred stock. Upon consummation of the IPO in December 2020, the related 600,208 shares of preferred stock automatically converted into common stock. Additionally, all shares of convertible preferred stock outstanding automatically converted into 47,349,577 shares of common stock.</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incurred deferred offering costs consisting primarily of incremental accounting, legal, and other fees related to the IPO. Prior to the IPO, all deferred offering costs were capitalized within other assets on the consolidated balance sheets. Upon completion of the IPO, $7.9 million of deferred offering costs were reclassified into stockholders’ equity (deficit) as a reduction of the net proceeds received from the IPO.</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13, 2021, the Company completed a follow-on offering, in which 2,300,000 shares of common stock (including the exercise in full of the underwriters’ option to purchase 300,000 additional shares) were issued and sold at $120.00 per share. The Company received net proceeds of $263.9 million after deducting underwriting discounts and commissions of $11.0 million and offering expenses of $1.0 million. Offering expenses consisted of incremental accounting, legal, and other fees incurred related to the follow-on offering.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that management make estimates and assumptions that affect the reported amounts of assets and liabilities and disclosure of contingent assets and liabilities at the date of the consolidated financial statements and the reported amounts of revenues and expenses during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Significant estimates and assumptions made in the accompanying consolidated financial statements, which Management believes are critical in understanding and evaluating the Company’s reported financial results include: (i) fair value determinations; (ii) stock-based compensation; (iii) consolidation of VIEs; (iv) provision for income taxes, net of valuation allowance for deferred tax assets; and (v) the evaluation for impairment of goodwill and acquired intangible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ownership, or other monetary interests in the entity. The Company consolidates a VIE when it is deemed to be the primary beneficiary. The Company determines it is the primary beneficiary if it has the power to direct activities that most significantly impact the VIE’s economic performance and has the obligation to absorb losses or the right to receive benefits of the VIE that could be potentially significant to the VIE. The Company assesses whether or not it is the primary beneficiary of a VIE on an ongoing basis.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Cash consists of bank deposits held in business checking and interest-bearing deposit accounts. As of December 31, 2020, and 2021, the Company did not have any cash equivalent balances, defined as highly liquid financial instruments purchased with original maturities of three months or less.</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Restricted cash primarily consists of bank deposits that are: (i) received from borrowers for interest and principal applied to loans as part of loan servicing, but not yet distributed to investors; (ii) received from investors as collateral for financing of loan purchases on the Upstart platform but not yet invested in issued loans; and (iii) collateral for letters of credit the Company is required to maintain under its operating lease agreements.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price used to measure fair value is not adjusted for transaction costs. The principal market is the market in which the Company would sell or transfer the asset with the greatest volume and level of activity for the asset. In determining the principal market for an asset or liability, it is assumed that the Company has access to the market as of the measurement date. If no market for the asset exists, or if the Company does not have access to the principal market, a hypothetical market is used.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authoritative guidance on fair value measurements establishes a three-tier fair value hierarchy for disclosure of fair value measurements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1—Unadjusted quoted market prices in active markets for identical assets or liabilities;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Level 2— 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2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Assets and liabilities measured at fair value on a recurring basis include loans, notes receivable and residual certificates, loan servicing assets and liabilities, and trailing fee liabilities. When developing fair value measurements, the Company maximizes the use of observable inputs and minimizes the use of unobservable inputs.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However, for certain instruments, the Company must utilize unobservable inputs in determining fair value due to the lack of observable inputs in the market,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Financial Instruments not Measured at Fair Value</w:t>
      </w:r>
    </w:p>
    <w:p>
      <w:pPr>
        <w:spacing w:after="0" w:line="11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7"/>
          <w:szCs w:val="17"/>
          <w:color w:val="auto"/>
        </w:rPr>
        <w:t>The Company’s financial instruments not measured at fair value consist primarily of cash, restricted cash, and other assets (excluding certain financial instruments, which are measured at fair value), accounts payable, payable to investors, and other liabilities (excluding certain financial instruments, such as loan servicing assets and liabilities and trailing fee liabilities which are measured at fair value). Payable to investors includes amounts of loan repayments not yet distributed to investors, as well as amounts received from investors but not yet invested directly in whole loans or notes payable. The carrying values of these financial instruments are approximates of their respective fair values due to their short-term nature.</w:t>
      </w:r>
    </w:p>
    <w:p>
      <w:pPr>
        <w:spacing w:after="0" w:line="66" w:lineRule="exact"/>
        <w:rPr>
          <w:sz w:val="20"/>
          <w:szCs w:val="20"/>
          <w:color w:val="auto"/>
        </w:rPr>
      </w:pPr>
    </w:p>
    <w:p>
      <w:pPr>
        <w:jc w:val="both"/>
        <w:ind w:firstLine="567"/>
        <w:spacing w:after="0"/>
        <w:rPr>
          <w:sz w:val="20"/>
          <w:szCs w:val="20"/>
          <w:color w:val="auto"/>
        </w:rPr>
      </w:pPr>
      <w:r>
        <w:rPr>
          <w:rFonts w:ascii="Arial" w:cs="Arial" w:eastAsia="Arial" w:hAnsi="Arial"/>
          <w:sz w:val="18"/>
          <w:szCs w:val="18"/>
          <w:color w:val="auto"/>
        </w:rPr>
        <w:t>Borrowings are presented at par, net of debt issuance costs and amortized over the contractual term using the effective interest method, with accrued interest included as part of accrued expenses and other liabilities on the consolidated balance sheets. The carrying value of borrowings associated with the warehouse credit facilities and risk retention funding loans approximates the fair value due to their relatively short maturities. The estimated fair value of convertible senior notes as of December 31, 2021 was approximately $627.5 million, which represents a Level 2 valuation. The estimated fair value was determined based on the estimated or actual bids and offers of the Notes in an over-the-counter market. The carrying value of convertible senior notes as of December 31, 2021 was $646.9 million.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Transfer of Financial Assets</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Upstart-powered loans originated by bank partners are either retained by the bank partners, purchased by the Company and immediately sold to institutional investors under loan sale agreements, or purchased and held by the Company for a period of time before being sold to third-party investors, or held to maturity by the Company for the primary purpose of product research and development. Loans retained and held on the Company’s consolidated balance sheets are classified as either held-for-investment or held-for-sale, and loans purchased for immediate resale to third-party investors are classified as held-for-sale. Immediate loan resales to institutional investors are accounted for as transfers of financial assets when the Company surrenders control of these loan assets. These sales typically occur shortly after the origination of the loans by the bank partner and the Company’s subsequent acquisition of the loans from the originating bank partner. Loans sold to institutional investors are derecognized from the Company’s consolidated balance sheets at the time of sale in accordance with the Financial Accounting Standards Board (“FASB”) Accounting Standards Update (“ASU”) 2014-11 Topic 860, Transfers and Servicing. The Company records an asset or a liability at fair value for its estimated post-sale servicing obligations. The Company also records liabilities net of fair value for contingent obligations to repurchase loans that do not conform to the representations and warranties made to the loan purchaser at the time of sale. These liabilities are included within other liabilities on the Company’s consolidated balance sheets.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Servicing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Loan servicing assets and liabilities are recognized at fair value when the Company transfers loans, which qualify as sales under Topic 860 with servicing rights retained or when the Company enters into servicing agreements with bank partners who retain Upstart-powered loans. A loan servicing asset or liability exists depending on whether the revenue from servicing is expected to more than adequately compensate the Company for carrying out its servicing obligations.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Loan servicing assets and liabilities are recorded in other assets and other liabilities, respectively, in the consolidated balance sheets, with changes in fair value recorded in servicing revenue, net, which is part of revenue from fees, net in the consolidated statements of operations and comprehensive income (loss). Refer to “</w:t>
      </w:r>
      <w:r>
        <w:rPr>
          <w:rFonts w:ascii="Arial" w:cs="Arial" w:eastAsia="Arial" w:hAnsi="Arial"/>
          <w:sz w:val="18"/>
          <w:szCs w:val="18"/>
          <w:i w:val="1"/>
          <w:iCs w:val="1"/>
          <w:color w:val="auto"/>
        </w:rPr>
        <w:t>Note 2. Revenue</w:t>
      </w:r>
      <w:r>
        <w:rPr>
          <w:rFonts w:ascii="Arial" w:cs="Arial" w:eastAsia="Arial" w:hAnsi="Arial"/>
          <w:sz w:val="18"/>
          <w:szCs w:val="18"/>
          <w:color w:val="auto"/>
        </w:rPr>
        <w:t>” for further details.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Property, equipment, and software are stated at cost less accumulated depreciation and amortization. Depreciation and amortization are recognized using the straight-line method over the estimated useful lives of the assets, which are generally three years for internally developed software, computer and networking equipment, and furniture and fixtures. Leasehold improvements are depreciated over the shorter of the remaining lease term or the estimated useful life.</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Internally developed software is capitalized upon completion of the preliminary project stage, when it becomes probable that the project will be completed, and the software will be used as intended. Capitalized costs primarily consist of salaries and payroll related costs for employees directly involved in development efforts. Costs related to the preliminary project stage and activities occurring after the implementation of the software are expensed as incurred. Costs incurred for software upgrades are capitalized if they result in additional functionalities or substantial enhancements.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evaluates its long-lived assets for potential impairment when events or changes in circumstances indicate that the carrying amount of the assets may not be recoverable. When such an event occurs the carrying amount of the asset is reduced to its estimated fair value. There were no impairments of long-lived assets as of December 31, 2020 and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determines if an arrangement is or contains a lease at inception. Operating leases are recorded on the consolidated balance sheets with right-of-use assets representing the right to use the underlying asset and lease liabilities representing the obligation to make lease payments. Right-of-use assets (“ROU”) and lease liabilities are recognized at lease commencement primarily based on the present value of lease payments over the lease term, and as necessary, at modification. The operating lease ROU assets also include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 The Company’s lease terms are the non-cancelable period including any rent-free periods provided by the lessor and may include options to extend or terminate the lease when it is reasonably certain that it will exercise that option. At lease inception, and in subsequent periods as necessary, the Company estimates the lease term based on its assessment of extension and termination options that are reasonably certain to be exercised. Lease costs for lease payments are recognized on a straight-line basis over the lease term. As the rate implicit on the Company’s leases is not readily determinable, the Company uses its secured incremental borrowing rate to determine the present value of lease payments. The incremental borrowing rate is the rate of interest that the Company would have to pay to borrow an amount equal to the lease payments on a collateralized basis over a similar term and in a similar economic environment. As of December 31, 2020 and 2021, the Company did not have any material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has elected not to separate lease and non-lease components for any leases within its existing classes of assets and, as a result, accounts for any lease and non-lease components as a single lease component. The Company has no leases with a term of 12 months or less.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revenue consists of two components: revenue from fees, net and interest income and fair value adjustments, net. The revenue from fees, net line item on the consolidated statements of operations and comprehensive income (loss) is primarily comprised of platform and referral fees, net, which are recognized based on FASB ASU 2014-09 Topic 606, Revenue from Contracts with Customers. Refer to “</w:t>
      </w:r>
      <w:r>
        <w:rPr>
          <w:rFonts w:ascii="Arial" w:cs="Arial" w:eastAsia="Arial" w:hAnsi="Arial"/>
          <w:sz w:val="18"/>
          <w:szCs w:val="18"/>
          <w:i w:val="1"/>
          <w:iCs w:val="1"/>
          <w:color w:val="auto"/>
        </w:rPr>
        <w:t>Note 2. Revenue</w:t>
      </w:r>
      <w:r>
        <w:rPr>
          <w:rFonts w:ascii="Arial" w:cs="Arial" w:eastAsia="Arial" w:hAnsi="Arial"/>
          <w:sz w:val="18"/>
          <w:szCs w:val="18"/>
          <w:color w:val="auto"/>
        </w:rPr>
        <w:t>” for further information.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and marketing expenses primarily consist of costs incurred across various advertising channels, including expenses for partnerships with third-parties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for related teams. These costs are recognized in the period incurred.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Customer operations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Customer operations expenses include payroll and other personnel-related expenses, including stock-based compensation expense, for personnel engaged in onboarding, loan servicing, customer support and other related operational teams. These costs also include costs of third-party collection agencies and other systems and tools the Company uses as part of information verification, fraud detection, and payment processing activities. These costs are recognized in the period incurred.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Engineering and product development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Engineering and product development expenses primarily consist of payroll and other employee-related expenses, including stock-based compensation expenses, for the engineering and product development teams as well as the costs of systems and tools used by these teams. These costs are recognized in the period incurred.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administrative, and other</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General, administrative, and other expenses consist primarily of payroll and other employee-related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issues stock options, restricted stock units (“RSUs”), and restricted stock to employees and non-employees, including directors and third-party service providers, and employee stock purchase rights granted under the Company’s employee stock purchase plan (“ESPP”). Stock options and employee stock purchase rights granted under the ESPP are initially measured at fair value at the date of grant using the Black-Scholes option-pricing model. RSUs and restricted stock are measured at the fair market value of our common stock at the grant date. Stock-based compensation expenses are recognized based on their respective grant-date fair values. Forfeitures are estimated at the time of grant and revised, as necessary, in subsequent periods if actual forfeitures differ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initial estimates. Stock-based compensation expense is recorded net of estimated forfeitures, such that the expense is recorded only for those awards that are expected to vest.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accounts for business combinations using the acquisition method of accounting which requires the fair values of assets acquired and liabilities assumed to be recognized in the consolidated financial statements. Assets acquired and liabilities assumed in a business combination are recognized at their estimated fair value as of the acquisition date. The excess purchase price over the fair value of assets acquired and liabilities assumed is recorded as goodwill. The allocation of fair values may be subject to adjustment after the initial allocation for up to a one-year period, with the corresponding offset to goodwill. Acquisition-related costs, such as legal and consulting fees, are recognized separately from the business combination and are expensed as incurred.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Non-marketable Equity Security</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Company’s strategic investment consists of a non-marketable equity security on the consolidated balance sheets which is an investment in a privately held company. The non-marketable equity security does not have a readily determinable fair value and is measured by the Company at cost less impairment, if any, and adjusted for changes resulting from observable price changes in orderly transactions for an identical or similar investment in the same issuer (the “measurement alternative”). Gains and losses on the investment, realized and unrealized, are recognized in other income (expense), net on our consolidated statements of operations and comprehensive income (loss) and a new carrying value is established for the investment upon such recognition of the gains and losses. There have been no unrealized or realized gains and losses or impairments related to the non-marketable equity security accounted for under the measurement alternative for any year presented. As of December 31, 2021, the carrying value of our non-marketable equity security, which does not have a readily determinable fair value, totaled $40 million. The Company had no such security as of December 31, 2020.</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determination of whether an orderly transaction is for an identical or similar investment requires significant management judgment. In its evaluation, the Company considers factors such as differences in the rights and preferences of the investment and the extent to which those differences would affect the fair value of the investment. In the event the Company identifies an observable price change from an orderly transaction for an identical or similar investment of the same issuer, the Company must estimate the fair value of its strategic investments using the most recent data available. The Company’s impairment analysis encompasses an assessment of both qualitative and quantitative factors.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acquired. Goodwill is reviewed for impairment annually, or more frequently if an event or a change in circumstances indicates that goodwill may be impaired. We first assess qualitative factors to determine if it is more likely than not that the fair value of the reporting unit is less than its carrying value. Examples of qualitative factors include, but are not limited to, a significant adverse change in legal factors or in the business climate, a significant decline in our stock price, a significant decline in our projected revenue or cash flows, or the presence of other indicators that would indicate a reduction in the fair value of a reporting unit. If the Company concludes the fair value of the reporting unit is less than its carrying value, a quantitative test is performed. We perform a quantitative goodwill impairment test by determining the fair value of the reporting unit and comparing it to the carrying value of the reporting unit.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Acquired intangible assets are recorded at fair value on the date of acquisition and amortized on a straight-line basis over their estimated useful lives. Acquired intangible assets are presented net of accumulated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the consolidated balance sheets. The Company reviews the carrying amounts of intangible assets for impairment whenever an event or change in circumstances indicates that the carrying amount of the assets may not be recoverable. We measure the recoverability of intangible assets by comparing the carrying amount of each asset to the future undiscounted cash flows we expect the asset to generate. Impairment is measured by the amount in which the carrying value of the asset exceeds its fair value. In addition, we periodically evaluate the estimated remaining useful lives of long-lived intangible assets to determine whether events or changes in circumstances warrant a revision to the remaining period of amortization.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 on deferred tax assets and liabilities of a change in tax rates is recognized in income in the period that includes the enactment date. A valuation allowance may be established to reduce the deferred tax asset to the level at which it is “more likely than not” that the tax asset or benefits will be realized. Realization of tax benefits of deductible temporary differences and operating loss carryforwards depends on having sufficient taxable income of an appropriate character within the carry back or carryforward periods.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review by the taxing authority. Recognized income tax positions are measured at the largest amount that is greater than 50% likely of being realized. Changes in recognition or measurement are reflected in the period in which the change in judgment occurs.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(expense) primarily consists of dividend income earned by the Company on its unrestricted cash balance which is recognized in the period earned.</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April 2020, the Company received a forgivable loan under the Paycheck Protection Program (“PPP”), totaling $5.3 million with a stated annual interest rate of 1%. All loan payments are deferred for six months if not forgiven under the provisions of the Coronavirus Aid, Relief, and Economic Security Act (the “CARES Act”). The loan and accrued interest are forgivable for borrowers who use the loan proceeds for eligible expenses during a twenty-four week period following the borrower’s receipt of the loan and maintain payroll and employee headcount. The Company has used the full proceeds of the loan for eligible expenses within the required period. The Company determined that forgiveness of the loan under the CARES Act was reasonably assured and recorded the full amount of proceeds as other income in the consolidated statement of operations and comprehensive income (loss) in 2020. In March 2021, the Company voluntarily repaid proceeds received under the Paycheck Protection Program plus accrued interest totaling $5.3 million. The Company recognized the loan principal repayment as an other expense.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 of Upstart Holdings, Inc. Stockholders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the two-class method when computing net income (loss) per common share when shares are issued that meet the definition of participating securities. The two-class method determines net income (loss) per common share for each class of common stock and participating securities according to dividends declared or accumulated and participation rights in undistributed earnings. The two-class method requires income available to common stockholders for the period to be allocated between common stock and participating securities based upon their respective rights to receive dividends as if all income for the period had been distributed.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convertible preferred stock contractually entitles the holders of such shares to participate in dividends but does not contractually require the holders of such shares to participate in the Company’s losses. Accordingly, for the periods where the Company is in a net loss position, the Company does not allocate any net loss attributable to common stockholders to the convertible preferred stock.</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common shares outstanding for the period.</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Diluted net income (loss) per share is the amount of net income (loss) available to each share of common stock outstanding during the reporting period, adjusted to include the effect of potentially dilutive common shares. Potentially dilutive common shares include incremental shares issued for convertible preferred stock, stock options, unvested RSUs, purchase rights committed under the ESPP, convertible debt, warrants to purchase convertible preferred stock and warrants to purchase common stock. The calculation of diluted net income (loss) per share excludes all anti-dilutive common shares. For periods in which the Company reports net losses, basic and diluted net loss per share attributable to Upstart Holdings, Inc.’s common stockholders are the same because potentially dilutive common shares are not assumed to have been issued if their effect is anti-dilutive.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we no longer qualify as an emerging growth company, as defined in the Jumpstart Our Business Startups Act of 2012 (the “JOBS Act”). Accordingly, the Company adopted certain new or revised accounting pronouncements during the year ended December 31, 2021 for which adoption previously had been deferred, as disclosed below:</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w:t>
      </w:r>
      <w:r>
        <w:rPr>
          <w:rFonts w:ascii="Arial" w:cs="Arial" w:eastAsia="Arial" w:hAnsi="Arial"/>
          <w:sz w:val="18"/>
          <w:szCs w:val="18"/>
          <w:color w:val="auto"/>
        </w:rPr>
        <w:t xml:space="preserve"> </w:t>
      </w:r>
      <w:r>
        <w:rPr>
          <w:rFonts w:ascii="Arial" w:cs="Arial" w:eastAsia="Arial" w:hAnsi="Arial"/>
          <w:sz w:val="18"/>
          <w:szCs w:val="18"/>
          <w:i w:val="1"/>
          <w:iCs w:val="1"/>
          <w:color w:val="auto"/>
        </w:rPr>
        <w:t>That Is a Service Contract</w:t>
      </w:r>
      <w:r>
        <w:rPr>
          <w:rFonts w:ascii="Arial" w:cs="Arial" w:eastAsia="Arial" w:hAnsi="Arial"/>
          <w:sz w:val="18"/>
          <w:szCs w:val="18"/>
          <w:color w:val="auto"/>
        </w:rPr>
        <w:t>, which requires a customer in a hosting arrangement that is a service contract to follow the internal-use software guidance in</w:t>
      </w:r>
      <w:r>
        <w:rPr>
          <w:rFonts w:ascii="Arial" w:cs="Arial" w:eastAsia="Arial" w:hAnsi="Arial"/>
          <w:sz w:val="18"/>
          <w:szCs w:val="18"/>
          <w:i w:val="1"/>
          <w:iCs w:val="1"/>
          <w:color w:val="auto"/>
        </w:rPr>
        <w:t xml:space="preserve"> </w:t>
      </w:r>
      <w:r>
        <w:rPr>
          <w:rFonts w:ascii="Arial" w:cs="Arial" w:eastAsia="Arial" w:hAnsi="Arial"/>
          <w:sz w:val="18"/>
          <w:szCs w:val="18"/>
          <w:color w:val="auto"/>
        </w:rPr>
        <w:t>Topic 350-40 to determine which implementation costs to capitalize as assets or expense as incurred. The standard is effective January 1, 2021 for emerging growth companies that have adopted the private company relief. The amendments in this ASU can be applied either retrospectively or prospectively to all implementation costs after the date of adoption. The guidance became effective on January 1, 2021 and the Company adopted the standard on a prospective basis. The adoption of the standard did not have a material impact on the Company’s consolidated financial statements or related disclosures.</w:t>
      </w:r>
    </w:p>
    <w:p>
      <w:pPr>
        <w:spacing w:after="0" w:line="2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Accounting for Convertible Instruments and Contracts in an Entity’s Own Equity</w:t>
      </w:r>
      <w:r>
        <w:rPr>
          <w:rFonts w:ascii="Arial" w:cs="Arial" w:eastAsia="Arial" w:hAnsi="Arial"/>
          <w:sz w:val="18"/>
          <w:szCs w:val="18"/>
          <w:color w:val="auto"/>
        </w:rPr>
        <w:t>, which simplifies accounting for convertible instruments by removing major separation models required under current U.S. GAAP. The standard removes certain settlement conditions that are required for equity contracts to qualify for the derivative scope exception and also simplifies the diluted earnings per share calculation in certain areas. The amendments in this update are effective for public business entities for fiscal years beginning after December 15, 2021, and interim periods within those fiscal years. The amendment is to be adopted through either a fully retrospective or modified retrospective method of transition. Early adoption is permitted. The Company early adopted ASU 2020-06 on January 1, 2021 with no material impact on the Company’s consolidated financial statements or related disclosures.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(“ASC 326”). The amendments replaced the incurred loss impairment methodology with the current expected credit loss model (“CECL”). Subsequent to the issuance of ASU 2016-13, the FASB issued several amendments to ASC 326 to clarify or improve the financial instruments credit losses standard such as codification and targeted improvements in ASUs 2018-19, 2019-04, 2019-05, 2019-11 and 2020-03. The guidance replaced the incurred loss impairment methodology with an expected credit loss model for which a company recognizes an allowance based on the estimate of expected credit loss. The Company accounts for its loans at fair value through net income,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outside the scope of Topic 326. The standard requires an entity to record a cumulative-effect adjustment to retained earnings as of the beginning of the first reporting period in which the guidance is adopted. Effective on December 31, 2021, the Company lost its emerging growth company (“EGC”) status, which accelerated the requirement of the adoption of ASU 2016-13. As a result, the Company adopted ASU 2016-13 using the modified retrospective approach as of January 1, 2021. Results for reporting periods beginning on or after January 1, 2021 are presented under the new standard, while prior period results before the adoption of CECL continue to be reported in accordance with previously applicable GAAP. The cumulative effect upon adoption was not material to the Company’s consolidated financial statements or related disclosures.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Reporting </w:t>
      </w:r>
      <w:r>
        <w:rPr>
          <w:rFonts w:ascii="Arial" w:cs="Arial" w:eastAsia="Arial" w:hAnsi="Arial"/>
          <w:sz w:val="18"/>
          <w:szCs w:val="18"/>
          <w:color w:val="auto"/>
        </w:rPr>
        <w:t>followed by ASU 2021-01,</w:t>
      </w:r>
      <w:r>
        <w:rPr>
          <w:rFonts w:ascii="Arial" w:cs="Arial" w:eastAsia="Arial" w:hAnsi="Arial"/>
          <w:sz w:val="18"/>
          <w:szCs w:val="18"/>
          <w:i w:val="1"/>
          <w:iCs w:val="1"/>
          <w:color w:val="auto"/>
        </w:rPr>
        <w:t xml:space="preserve"> Reference Rate Reform, Scop</w:t>
      </w:r>
      <w:r>
        <w:rPr>
          <w:rFonts w:ascii="Arial" w:cs="Arial" w:eastAsia="Arial" w:hAnsi="Arial"/>
          <w:sz w:val="18"/>
          <w:szCs w:val="18"/>
          <w:color w:val="auto"/>
        </w:rPr>
        <w:t>e issued in January 2021. ASU 2020-04 and ASU 2021-01 provide temporary</w:t>
      </w:r>
      <w:r>
        <w:rPr>
          <w:rFonts w:ascii="Arial" w:cs="Arial" w:eastAsia="Arial" w:hAnsi="Arial"/>
          <w:sz w:val="18"/>
          <w:szCs w:val="18"/>
          <w:i w:val="1"/>
          <w:iCs w:val="1"/>
          <w:color w:val="auto"/>
        </w:rPr>
        <w:t xml:space="preserve"> </w:t>
      </w:r>
      <w:r>
        <w:rPr>
          <w:rFonts w:ascii="Arial" w:cs="Arial" w:eastAsia="Arial" w:hAnsi="Arial"/>
          <w:sz w:val="18"/>
          <w:szCs w:val="18"/>
          <w:color w:val="auto"/>
        </w:rPr>
        <w:t>optional expedients and exceptions for applying U.S. GAAP to contracts, hedging relationships, and other transactions that reference the London Interbank Offered Rate or another reference rate expected to be discontinued because of reference rate reform, if certain criteria are met. The optional guidance in ASU 2020-04 and ASU 2021-01 is effective for a limited period of time through December 31, 2022 and may be applied prospectively to contract modifications and hedging relationships. The Company does not expect the adoption of this guidance will have a material impact on the Company’s consolidated financial statements or related disclosures.</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The new guidance requires contract assets and contract liabilities acquired in a business combination to be recognized and measured by the acquirer on the acquisition date in accordance with ASC 606, Revenue from Contracts with Customers, as if it had originated the contracts. Under the current business combinations guidance, such assets and liabilities are recognized by the acquirer at fair value on the acquisition date. The ASU is effective for fiscal years beginning after December 15, 2022, with early adoption permitted. The ASU is to be applied prospectively to business combinations occurring on or after the effective date of the amendment (or if adopted early as of an interim period, as of the beginning of the fiscal year that includes the interim period of early application). This standard has no impact on acquired contract assets or liabilities from business combinations occurring prior to the effective date of adoption. The Company is currently assessing the impact the standard will have on its consolidated financial statements and related disclosures.</w:t>
      </w:r>
    </w:p>
    <w:p>
      <w:pPr>
        <w:spacing w:after="0" w:line="200" w:lineRule="exact"/>
        <w:rPr>
          <w:sz w:val="20"/>
          <w:szCs w:val="20"/>
          <w:color w:val="auto"/>
        </w:rPr>
      </w:pPr>
    </w:p>
    <w:p>
      <w:pPr>
        <w:spacing w:after="0" w:line="220"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from fees,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disaggregates revenue from fees by type of service for the years presented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fees,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Platform and referral fees, net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144,055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200,257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726,161</w:t>
            </w:r>
          </w:p>
        </w:tc>
      </w:tr>
      <w:tr>
        <w:trPr>
          <w:trHeight w:val="230"/>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Servicing and other fees, net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75,114</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Total revenue from fees, net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228,600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801,275</w:t>
            </w:r>
          </w:p>
        </w:tc>
      </w:tr>
      <w:tr>
        <w:trPr>
          <w:trHeight w:val="20"/>
        </w:trPr>
        <w:tc>
          <w:tcPr>
            <w:tcW w:w="6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and referral fees, net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enters into contracts with bank partners to provide access to a cloud-based artificial intelligence lending platform developed by the Company (the “Upstart platform”) to enable banks to originate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unsecured personal and secured auto loans. The Upstart platform includes a cloud-based application (through Upstart.com or a bank-branded program) for submitting loan applications, verifying information provided within submitted applications, risk underwriting (through a series of proprietary technology solutions), delivery of electronic loan offers, and if the offer is accepted by the borrower, an electronic loan documentation signed by the borrower. Bank partners can specify certain parameters of loans they are willing to originate. Under these contracts, bank partners can choose to use Upstart’s referral services, which allow them to access new borrowers through Upstart’s marketing channels. The Company’s contracts with bank partners are non-cancelable and generally have 12-month terms that automatically renew.</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origination, Upstart-powered loans are either retained by bank partners, purchased by the Company for immediate resale to institutional investors under loan sale agreements, or purchased and held by the Company. For loans purchased by the Company, Upstart pays bank partners a one-time loan premium fee upon completion of the minimum contractual holding period. Upstart also pays bank partners monthly loan trailing fees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consolidated statements of operations and comprehensive income (loss). The Company recognized $5.5 million, $8.3 million and $23.6 million, of loan premium fees and loan trailing fees as contra-revenue within platform and referral fees, net for the year ended December 31, 2019, 2020, and 2021 respectively.</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and 2021, the Company recorded $1.3 million and $4.3 million of loan trailing fee liability, respectively, which is recorded at fair value and included within accrued expenses and other liabilities on the Company’s consolidated balance sheets. Refer to “</w:t>
      </w:r>
      <w:r>
        <w:rPr>
          <w:rFonts w:ascii="Arial" w:cs="Arial" w:eastAsia="Arial" w:hAnsi="Arial"/>
          <w:sz w:val="18"/>
          <w:szCs w:val="18"/>
          <w:i w:val="1"/>
          <w:iCs w:val="1"/>
          <w:color w:val="auto"/>
        </w:rPr>
        <w:t>Note 4. 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w:t>
      </w:r>
      <w:r>
        <w:rPr>
          <w:rFonts w:ascii="Arial" w:cs="Arial" w:eastAsia="Arial" w:hAnsi="Arial"/>
          <w:sz w:val="18"/>
          <w:szCs w:val="18"/>
          <w:color w:val="auto"/>
        </w:rPr>
        <w:t>” for additional information on changes in fair value associated with trailing fee liabilities.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arrangements for platform and referral services typically consist of an obligation to provide one or both of these services to customers, which are our bank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Platform and referral services are typically provided under a fixed or declining (tier-based) price per unit based on volume or as a percentage of the total value of loans originated each period with certain bank partners subject to minimum fees; however, pricing for these services may also be based on usage fees, calculated as a percentage of each loan originated. Tier-based pricing, when offered, resets on a monthly basis and does not accumulate. Given that the nature of the Company’s promise is to stand-ready and provide continuous access to and process transactions through the platform, tier-based pricing based on usage represents variable consideration. Platform and referral fees represent variable consideration as loan origination volume is not known at contract inception. These fees are determined each time a loan is originated. Fees for platform and referral services are typically billed and paid on either a daily or monthly basis. As such, the Company’s contracts with customers do not include a significant financing component.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did not recognize revenue from performance obligations related to prior years for the years presented. The Company had no material contract assets, contract liabilities, or deferred contract costs recorded as of December 31, 2020 and 2021. The Company had $8.1 million and $44.8 million of accounts receivable that are included in other assets on the consolidated balance sheets related to contracts with customers as of December 31, 2020 and 2021, respectively. The standard payment terms on accounts receivable are 30 days. The Company’s allowance for bad debt and bad debt expense were immaterial for the years presented.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capitalizes incremental costs of obtaining a contract with a customer, which are certain sales commissions paid to acquire bank partners. Capitalized costs are amortized over the expected period of benefit, which we have determined, based on an analysis, to be three years. The Company applies the practical expedient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expense costs to obtain contracts with customers if the amortization period is one year or less. As of December 31, 2021, the Company had an immaterial amount of contract costs capitalized within other assets on the consolidated balance sheets. For the year ended December 31, 2021, the Company amortized an immaterial amount of capitalized contracts costs to sales and marketing in the consolidated statements of operations and comprehensive income (loss).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2019, 2020 and 2021, the Company had one customer (“Customer A”) which accounted for 80%, 63%, and 56% of the Company’s total revenue, respectively. For the year ended December 31, 2020 and 2021, a second customer (“Customer B”) accounted for 18%, and 27% of the Company’s total revenue,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ind w:left="660"/>
              <w:spacing w:after="0"/>
              <w:rPr>
                <w:sz w:val="20"/>
                <w:szCs w:val="20"/>
                <w:color w:val="auto"/>
              </w:rPr>
            </w:pPr>
            <w:r>
              <w:rPr>
                <w:rFonts w:ascii="Arial" w:cs="Arial" w:eastAsia="Arial" w:hAnsi="Arial"/>
                <w:sz w:val="18"/>
                <w:szCs w:val="18"/>
                <w:color w:val="auto"/>
              </w:rPr>
              <w:t>Customers accounting for greater than 10% of accounts receivable were as follows: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7"/>
        </w:trPr>
        <w:tc>
          <w:tcPr>
            <w:tcW w:w="7860" w:type="dxa"/>
            <w:vAlign w:val="bottom"/>
          </w:tcPr>
          <w:p>
            <w:pPr>
              <w:spacing w:after="0"/>
              <w:rPr>
                <w:sz w:val="22"/>
                <w:szCs w:val="22"/>
                <w:color w:val="auto"/>
              </w:rPr>
            </w:pPr>
          </w:p>
        </w:tc>
        <w:tc>
          <w:tcPr>
            <w:tcW w:w="33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8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Customer D</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25%</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w:t>
            </w:r>
          </w:p>
        </w:tc>
      </w:tr>
    </w:tbl>
    <w:p>
      <w:pPr>
        <w:spacing w:after="0" w:line="7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 Less than 10%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Servicing and other fees, net</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also enters into contracts with bank partners and institutional investors to provide loan servicing for the life of Upstart-powered loans. These services commence upon origination of these loans by bank partners and include collection, processing and reconciliations of payments received,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fees earned for the facilitation of Upstart co-sponsored securitization transactions as well as certain ancillary fees charged on a per transaction basis for processing late payments and payments declined due to insufficient funds. Servicing fees are recognized in the period the services are provided. Loan servicing fees are not within the scope of ASC 606 and are accounted for under ASC 860, Transfers and servicing of financial assets.</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Commencing in the fourth quarter of 2021, the Company began charging fees for providing services in connection with the Company’s establishment of Upstart co-sponsored securitization transactions. These fees are accounted for under ASC 606 and are recognized within servicing and other fees, net in the consolidated statements of operations and comprehensive income (loss) in the period the services are provided. For the year ended December 31, 2021, the Company recognized $1.1 million of these fees.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Servicing and other fees, net also include gains and losses on assets and liabilities recognized under loan servicing arrangements for loans retained by bank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in the years presented. Refer to “</w:t>
      </w:r>
      <w:r>
        <w:rPr>
          <w:rFonts w:ascii="Arial" w:cs="Arial" w:eastAsia="Arial" w:hAnsi="Arial"/>
          <w:sz w:val="18"/>
          <w:szCs w:val="18"/>
          <w:i w:val="1"/>
          <w:iCs w:val="1"/>
          <w:color w:val="auto"/>
        </w:rPr>
        <w:t>Note 4. Fair Value Measurement</w:t>
      </w:r>
      <w:r>
        <w:rPr>
          <w:rFonts w:ascii="Arial" w:cs="Arial" w:eastAsia="Arial" w:hAnsi="Arial"/>
          <w:sz w:val="18"/>
          <w:szCs w:val="18"/>
          <w:color w:val="auto"/>
        </w:rPr>
        <w:t>” for additional information on changes in fair value associated with servicing assets and liabilities.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a net gain (loss) related to loan servicing rights upon loan sales for the years presented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 related to loan servicing rights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r>
    </w:tbl>
    <w:p>
      <w:pPr>
        <w:spacing w:after="0" w:line="32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generally outsources borrower payment collections for loans that are more than 30 days past due or charged off to third-party collection agencies. The Company charges bank partners and institutional investors for collection agency fees related to their outstanding loan portfolio.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fees inclusive of late payment fees and ACH fail fees. Revenue from collection agency fees and borrower fees are included in servicing and other fees, net as part of revenue from fees, net in the Company’s consolidated statements of operations and comprehensive income (loss). The total fees charged by collection agencies are also recognized in the period incurred and reported as part of customer operations expenses.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recognized collection agency fees and borrower fees, which are included in servicing and other fees, net for the years presented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 agency fees</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Borrower fees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7,289</w:t>
            </w:r>
          </w:p>
        </w:tc>
      </w:tr>
    </w:tbl>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Interest Income and Fair Value Adjustments, Net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income and fair value adjustments, net is comprised of interest income, interest expense and net changes in the fair value of financial instruments, held in the Company’s normal course of business at fair value, including loans and notes receivable and residual certificates, payable to securitization note holders and residual certificate holders.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presents components of the interest income and fair value adjustments, net presented in the Company’s consolidated statements of operations and comprehensive income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2021</w:t>
            </w: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fair value adjustments, net:</w:t>
            </w:r>
          </w:p>
        </w:tc>
        <w:tc>
          <w:tcPr>
            <w:tcW w:w="10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63,313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26,408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ind w:left="720"/>
              <w:spacing w:after="0"/>
              <w:rPr>
                <w:sz w:val="20"/>
                <w:szCs w:val="20"/>
                <w:color w:val="auto"/>
              </w:rPr>
            </w:pPr>
            <w:r>
              <w:rPr>
                <w:rFonts w:ascii="Arial" w:cs="Arial" w:eastAsia="Arial" w:hAnsi="Arial"/>
                <w:sz w:val="18"/>
                <w:szCs w:val="18"/>
                <w:color w:val="auto"/>
                <w:w w:val="98"/>
              </w:rPr>
              <w:t>20,634</w:t>
            </w:r>
          </w:p>
        </w:tc>
      </w:tr>
      <w:tr>
        <w:trPr>
          <w:trHeight w:val="230"/>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4"/>
              </w:rPr>
              <w:t>(3,274)</w:t>
            </w:r>
          </w:p>
        </w:tc>
      </w:tr>
      <w:tr>
        <w:trPr>
          <w:trHeight w:val="230"/>
        </w:trPr>
        <w:tc>
          <w:tcPr>
            <w:tcW w:w="610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Fair value and other adjustments, net</w:t>
            </w:r>
            <w:r>
              <w:rPr>
                <w:rFonts w:ascii="Arial" w:cs="Arial" w:eastAsia="Arial" w:hAnsi="Arial"/>
                <w:sz w:val="23"/>
                <w:szCs w:val="23"/>
                <w:color w:val="auto"/>
                <w:vertAlign w:val="superscript"/>
              </w:rPr>
              <w:t>(1)(2)</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(32,486)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8"/>
              </w:rPr>
              <w:t>29,954</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8"/>
              </w:rPr>
              <w:t>47,314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480" w:hanging="472"/>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$(2.3) million, $(2.2) million, and $7.3 million of realized gain (loss) on sale of loans.</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$0.0 million, $(2.1) million, and $28.1 million of income (loss) from capital market programs, net.</w:t>
      </w:r>
    </w:p>
    <w:p>
      <w:pPr>
        <w:spacing w:after="0" w:line="2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Amounts in the table above include interest income, interest expense and fair value adjustments, net related to consolidated securitization trusts. The table below presents the amounts related to consolidated securitization trusts for the year ended December 31, 2019 and 2020. Due to the deconsolidation of the securitization trust during the year ended December 31, 2020, there is no interest income, interest expense or fair value adjustment related to consolidated securitization trusts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fair value adjustments, net related to consolidated securitization trusts: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38,218</w:t>
            </w:r>
          </w:p>
        </w:tc>
        <w:tc>
          <w:tcPr>
            <w:tcW w:w="10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5,173</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(1,074)</w:t>
            </w:r>
          </w:p>
        </w:tc>
      </w:tr>
      <w:tr>
        <w:trPr>
          <w:trHeight w:val="22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Fair value and other adjustments, net</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(30,676)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(3,555)</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 and fair value adjustments, net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is recognized based on the terms of the underlying agreements with borrowers for loans held on the Company’s consolidated balance sheets and is earned over the life of a loan.</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The Company does not record an allowance for credit losses on accrued interest receivable. As of December 31, 2020 and 2021, the Company has recorded $0.9 million and $2.6 million of accrued interest income in loans on the consolidated balance sheets,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is primarily related to interest recorded on the Company’s notes issued as part of the consolidated securitizations and borrowings on warehouse credit facilities and risk retention funding loans. Interest expense includes accrued interest incurred but not paid. Accrued interest expenses were immaterial as of December 31, 2020 and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and other adjustments, net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and other adjustments, net include changes in fair value of financial instruments, other than loan servicing assets and liabilities, common stock warrant liabilities, and convertible preferred stock warrant liabilities. These adjustments are recorded in the Company’s consolidated statements of operations and comprehensive income (loss) and include both realized and unrealized changes to the value of related assets and liabilities. Refer to “</w:t>
      </w:r>
      <w:r>
        <w:rPr>
          <w:rFonts w:ascii="Arial" w:cs="Arial" w:eastAsia="Arial" w:hAnsi="Arial"/>
          <w:sz w:val="18"/>
          <w:szCs w:val="18"/>
          <w:i w:val="1"/>
          <w:iCs w:val="1"/>
          <w:color w:val="auto"/>
        </w:rPr>
        <w:t>Note 4. Fair Value Measurement</w:t>
      </w:r>
      <w:r>
        <w:rPr>
          <w:rFonts w:ascii="Arial" w:cs="Arial" w:eastAsia="Arial" w:hAnsi="Arial"/>
          <w:sz w:val="18"/>
          <w:szCs w:val="18"/>
          <w:color w:val="auto"/>
        </w:rPr>
        <w:t>” for additional information.</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Fair value and other adjustments, net also include gains received through our securitization programs and amounts received from borrowers for previously charged-off loans held on the Company’s consolidated balance sheets. These amounts are recognized in the period received.</w:t>
      </w:r>
    </w:p>
    <w:p>
      <w:pPr>
        <w:spacing w:after="0" w:line="169"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Securitizations and Variable Interest Entities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Warehouse Entities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established Upstart Loan Trust and Upstart Auto Warehouse Trust to enter into warehouse credit facilities for the purpose of purchasing Upstart-powered loans. See “</w:t>
      </w:r>
      <w:r>
        <w:rPr>
          <w:rFonts w:ascii="Arial" w:cs="Arial" w:eastAsia="Arial" w:hAnsi="Arial"/>
          <w:sz w:val="18"/>
          <w:szCs w:val="18"/>
          <w:i w:val="1"/>
          <w:iCs w:val="1"/>
          <w:color w:val="auto"/>
        </w:rPr>
        <w:t>Note 8. Borrowings”</w:t>
      </w:r>
      <w:r>
        <w:rPr>
          <w:rFonts w:ascii="Arial" w:cs="Arial" w:eastAsia="Arial" w:hAnsi="Arial"/>
          <w:sz w:val="18"/>
          <w:szCs w:val="18"/>
          <w:color w:val="auto"/>
        </w:rPr>
        <w:t xml:space="preserve"> for additional information. The entities are Delaware statutory trusts that are structured to be bankruptcy-remote, with third-party banks operating as trustees.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Consolidated MOAs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sponsored three securitization transactions in August 2018 (“2018-2”), February 2019 (“2019-1”) and August 2019 (“2019-2”), respectively. As the retaining sponsor of these transactions, the Company was subject to the RR requirements and satisfied them through Eligible Vertical Interests (“EVIs”) in the form of a combination of securitization notes and residual certificates through the established MOAs. The Company concluded that it has a variable interest and is the primary beneficiary of the MOAs associated with these securitization transactions. As a result, these MOAs were consolidated upon completion of these securitizations and remained consolidated as of December 31, 2020 and 2021. The Company determined that it is not the primary beneficiary of the trusts which holds the loans associated with these securitization transactions, primarily because the Company’s servicing fees are not considered variable interests, and that the transfer of loans as collateral into these securitization transactions met the definition of a sale under Topic 860, Transferring and Servicing. As such, the Company derecognized these loans from the consolidated balance sheets upon the closing of these securitization transactions. Refer to the Unconsolidated Securitizations section below for more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Consolidated VIEs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Upstart Loan Trust 2, a Delaware statutory trust, holds personal and auto loans facilitated through the Upstart platform. These loans include, but are not limited to, loans which do not satisfy the warehouse requirements or loans that were the result of the Company’s repurchases of loans for breaches of representations and warranties made to institutional investors, as described above.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a summary of financial assets and liabilities from the Company’s involvement with consolidated VIEs: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Net Assets</w:t>
            </w: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Warehouse entities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71,530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35,109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36,421</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affiliates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Other consolidated VIEs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16,243</w:t>
            </w: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62,696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Net Assets</w:t>
            </w: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Warehouse entities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219,734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48,367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171,367</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Majority-owned affiliates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consolidated VIEs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114,280</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292,711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continued involvement in all of its securitizations in which it is the sponsor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transactions with unconsolidated VIEs include securitizations of unsecured personal whole loans and sales of whole loans to VIEs. The Company has various forms of involvement with VIEs, including servicing of loans and holding senior or residual interests in the VIEs, however the Company does not hold a significant economic interest in these entities.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2021, the Company’s unconsolidated VIEs include entities established as the issuers and grantor trusts for the 2017-1, 2017-2, 2018-1, 2018-2, 2019-1, and 2019-2 securitization transactions (the “Unconsolidated Securitizations”). The Company’s continued involvement in the unconsolidated VIEs is in the form of its role as the sponsor and the servicer of these transactions. For each of the unconsolidated securitizations, the Company determined that it is not the primary beneficiary.</w:t>
      </w:r>
    </w:p>
    <w:p>
      <w:pPr>
        <w:spacing w:after="0" w:line="21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summarize the aggregate value of assets and liabilities of unconsolidated VIEs in which the Company holds a variable interest but is not the primary beneficiary: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8"/>
                <w:szCs w:val="18"/>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 Assets</w:t>
            </w: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Maximum Exposure</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 Losses</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Securitizations and other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524,358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430,006</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94,352</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26,141</w:t>
            </w:r>
          </w:p>
        </w:tc>
        <w:tc>
          <w:tcPr>
            <w:tcW w:w="0" w:type="dxa"/>
            <w:vAlign w:val="bottom"/>
          </w:tcPr>
          <w:p>
            <w:pPr>
              <w:spacing w:after="0"/>
              <w:rPr>
                <w:sz w:val="1"/>
                <w:szCs w:val="1"/>
                <w:color w:val="auto"/>
              </w:rPr>
            </w:pPr>
          </w:p>
        </w:tc>
      </w:tr>
      <w:tr>
        <w:trPr>
          <w:trHeight w:val="526"/>
        </w:trPr>
        <w:tc>
          <w:tcPr>
            <w:tcW w:w="4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4"/>
                <w:szCs w:val="24"/>
                <w:color w:val="auto"/>
              </w:rPr>
            </w:pPr>
          </w:p>
        </w:tc>
        <w:tc>
          <w:tcPr>
            <w:tcW w:w="14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4"/>
                <w:szCs w:val="24"/>
                <w:color w:val="auto"/>
              </w:rPr>
            </w:pPr>
          </w:p>
        </w:tc>
        <w:tc>
          <w:tcPr>
            <w:tcW w:w="14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Net Assets</w:t>
            </w: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Maximum Exposure</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to Losses</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Securitizations and other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217,321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160,248</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57,073</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15,503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assets that relate to variable interests in unconsolidated VIEs consists of $18.9 million and $8.3 million which are included in notes receivable and residual certificates on the consolidated balance sheets as of December 31, 2020 and 2021, respectively. The Company also had $7.2 million of cash deposits made to reserve accounts for related securitizations, included in other assets on the consolidated balance sheets as of December 31, 2020 and 2021.</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RR requirement declines to zero.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Retained Interest in Unconsolidated VIEs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the Company’s MOAs are subject principally to the credit and prepayment risk stemming from the underlying unsecured personal whole loans.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Off-Balance Sheet Loans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 Additionally, in the unlikely event principal payments on the loans backing a securitization are insufficient to pay senior note holders, any amounts the Company contributed to the securitization reserve accounts may be depleted.</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routinely contributes loans to securitization transactions which it co-sponsors as a non-retaining sponsor. As a non-retaining sponsor and a servicer of these transactions, the Company does not retain economic risk in these deals. Contributions of loans to these securitizations are recognized as transfers under Topic 860, Transferring and Servicing.</w:t>
      </w:r>
    </w:p>
    <w:p>
      <w:pPr>
        <w:spacing w:after="0" w:line="200" w:lineRule="exact"/>
        <w:rPr>
          <w:sz w:val="20"/>
          <w:szCs w:val="20"/>
          <w:color w:val="auto"/>
        </w:rPr>
      </w:pPr>
    </w:p>
    <w:p>
      <w:pPr>
        <w:spacing w:after="0" w:line="223"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presents assets and liabilities measured at fair value: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b w:val="1"/>
                <w:bCs w:val="1"/>
                <w:color w:val="auto"/>
              </w:rPr>
              <w:t>December 31, 2020</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2</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19"/>
                <w:szCs w:val="19"/>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Loans</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78,460</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receivable and residual certificates</w:t>
            </w: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w:t>
            </w: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Loan servicing assets</w:t>
            </w: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6,831</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4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104,365</w:t>
            </w:r>
          </w:p>
        </w:tc>
      </w:tr>
      <w:tr>
        <w:trPr>
          <w:trHeight w:val="20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 servicing liabilities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Trailing fee liabilities</w:t>
            </w: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4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b w:val="1"/>
                <w:bCs w:val="1"/>
                <w:color w:val="auto"/>
              </w:rPr>
              <w:t>December 31, 2021</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2</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19"/>
                <w:szCs w:val="19"/>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09"/>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Loans</w:t>
            </w: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252,477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252,477</w:t>
            </w: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receivable and residual certificates</w:t>
            </w: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w:t>
            </w: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Loan servicing assets</w:t>
            </w: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18,388</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4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279,153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279,153</w:t>
            </w:r>
          </w:p>
        </w:tc>
      </w:tr>
      <w:tr>
        <w:trPr>
          <w:trHeight w:val="20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 servicing liabilities</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Trailing fee liabilities</w:t>
            </w: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4,315</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4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13,095</w:t>
            </w: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instruments are categorized in the fair value hierarchy based on the significance of unobservable factors in the overall fair value measurement. Since the Company’s loans, notes receivable and residual certificates, loan servicing assets and liabilities, and trailing fee liabilities do not trade in an active market with readily observable prices, the Company uses significant unobservable inputs to measure the fair value of these assets and liabilities.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Level 2 or Level 3 of the fair value hierarchy during the years presented.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Loans included in the Company’s consolidated balance sheets are classified as either held-for-sale or held-for-investment. The Company reclassified loans held by the warehouse entities from held-for-investment to held-for-sale as of January 1, 2020, due to the Company’s intent to sell the loans prior to maturity and increasing evidence of their marketability. Other loans held on the Company’s consolidated balance sheets retained their classification as held-for-investment.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ind w:left="660"/>
              <w:spacing w:after="0"/>
              <w:rPr>
                <w:sz w:val="20"/>
                <w:szCs w:val="20"/>
                <w:color w:val="auto"/>
              </w:rPr>
            </w:pPr>
            <w:r>
              <w:rPr>
                <w:rFonts w:ascii="Arial" w:cs="Arial" w:eastAsia="Arial" w:hAnsi="Arial"/>
                <w:sz w:val="18"/>
                <w:szCs w:val="18"/>
                <w:color w:val="auto"/>
              </w:rPr>
              <w:t>The following table presents the fair value of classes of loans held by the Company:</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68"/>
        </w:trPr>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held-for-sale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142,685</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Loans held-for-investment</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109,792</w:t>
            </w: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252,477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 which was immaterial as of December 31, 2020 and $2.6 million as of December 31, 2021.</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loans held-for-investment and held-for-sale: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2020</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8"/>
              </w:rPr>
              <w:t>December 31, 2021</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Minimum</w:t>
            </w:r>
          </w:p>
        </w:tc>
        <w:tc>
          <w:tcPr>
            <w:tcW w:w="148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Maximum</w:t>
            </w:r>
          </w:p>
        </w:tc>
        <w:tc>
          <w:tcPr>
            <w:tcW w:w="14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Minimum</w:t>
            </w:r>
          </w:p>
        </w:tc>
        <w:tc>
          <w:tcPr>
            <w:tcW w:w="150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Maximum</w:t>
            </w:r>
          </w:p>
        </w:tc>
        <w:tc>
          <w:tcPr>
            <w:tcW w:w="14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60" w:type="dxa"/>
            <w:vAlign w:val="bottom"/>
          </w:tcPr>
          <w:p>
            <w:pPr>
              <w:jc w:val="right"/>
              <w:ind w:right="576"/>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80" w:type="dxa"/>
            <w:vAlign w:val="bottom"/>
          </w:tcPr>
          <w:p>
            <w:pPr>
              <w:jc w:val="right"/>
              <w:ind w:right="59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7.29 %</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0.36 %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52.31 %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0.08 %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55.79 %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17.98 %</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40.35 %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w:t>
      </w:r>
    </w:p>
    <w:p>
      <w:pPr>
        <w:spacing w:after="0" w:line="13" w:lineRule="exact"/>
        <w:rPr>
          <w:rFonts w:ascii="Arial" w:cs="Arial" w:eastAsia="Arial" w:hAnsi="Arial"/>
          <w:sz w:val="14"/>
          <w:szCs w:val="14"/>
          <w:color w:val="auto"/>
        </w:rPr>
      </w:pPr>
    </w:p>
    <w:p>
      <w:pPr>
        <w:ind w:left="1300" w:hanging="644"/>
        <w:spacing w:after="0"/>
        <w:tabs>
          <w:tab w:leader="none" w:pos="13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3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Discount rates</w:t>
      </w:r>
      <w:r>
        <w:rPr>
          <w:rFonts w:ascii="Arial" w:cs="Arial" w:eastAsia="Arial" w:hAnsi="Arial"/>
          <w:sz w:val="18"/>
          <w:szCs w:val="18"/>
          <w:color w:val="auto"/>
        </w:rPr>
        <w:t>–The discount rates are rates of return used to discount future expected cash flows to arrive at a present value, which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1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Credit risk rates</w:t>
      </w:r>
      <w:r>
        <w:rPr>
          <w:rFonts w:ascii="Arial" w:cs="Arial" w:eastAsia="Arial" w:hAnsi="Arial"/>
          <w:sz w:val="16"/>
          <w:szCs w:val="16"/>
          <w:color w:val="auto"/>
        </w:rPr>
        <w:t>–The credit risk rates are an estimate of the net cumulative principal payments that will not be repaid over the entire life of a</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Prepayment rates</w:t>
      </w:r>
      <w:r>
        <w:rPr>
          <w:rFonts w:ascii="Arial" w:cs="Arial" w:eastAsia="Arial" w:hAnsi="Arial"/>
          <w:sz w:val="18"/>
          <w:szCs w:val="18"/>
          <w:color w:val="auto"/>
        </w:rPr>
        <w:t>–Prepayment rates are an estimate of the cumulative principal prepayments that will occur over the entire life of a loan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original principal amount of the loan. The assumption regarding cumulative prepayments impact the projected balances and expected terms of the loans.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above inputs are similarly used in estimating fair value of related financial instruments. Refer to the Assets and Liabilities related to Securitization Transactions section below for more information.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below table presents the sensitivity of the loans held-for-sale and held-for-investment to adverse changes in key assumptions used in the valuation model as of December 31, 2020 and 2021, respectively. The estimated fair value of these loans is not sensitive to adverse changes in expected prepayment rates as such changes would not result in a significant impact on the fair value in either periods.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78,460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252,477</w:t>
            </w:r>
          </w:p>
        </w:tc>
      </w:tr>
      <w:tr>
        <w:trPr>
          <w:trHeight w:val="210"/>
        </w:trPr>
        <w:tc>
          <w:tcPr>
            <w:tcW w:w="7860" w:type="dxa"/>
            <w:vAlign w:val="bottom"/>
          </w:tcPr>
          <w:p>
            <w:pPr>
              <w:ind w:left="20"/>
              <w:spacing w:after="0"/>
              <w:rPr>
                <w:sz w:val="20"/>
                <w:szCs w:val="20"/>
                <w:color w:val="auto"/>
              </w:rPr>
            </w:pPr>
            <w:r>
              <w:rPr>
                <w:rFonts w:ascii="Arial" w:cs="Arial" w:eastAsia="Arial" w:hAnsi="Arial"/>
                <w:sz w:val="18"/>
                <w:szCs w:val="18"/>
                <w:color w:val="auto"/>
              </w:rPr>
              <w:t>Discount rates</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100 basis point increase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200 basis point increase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(1,939)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(6,709)</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credit loss rates on underlying loans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(1,303)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(3,959)</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w:t>
            </w: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include a rollforward of the loans classified within Level 3 of the fair value hierarchy: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Loans Held-for-</w:t>
            </w:r>
          </w:p>
        </w:tc>
        <w:tc>
          <w:tcPr>
            <w:tcW w:w="160" w:type="dxa"/>
            <w:vAlign w:val="bottom"/>
          </w:tcPr>
          <w:p>
            <w:pPr>
              <w:spacing w:after="0"/>
              <w:rPr>
                <w:sz w:val="17"/>
                <w:szCs w:val="17"/>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Loans Held-for-</w:t>
            </w: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Loans Held-for-</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0"/>
              </w:rPr>
              <w:t>Investment</w:t>
            </w:r>
          </w:p>
        </w:tc>
        <w:tc>
          <w:tcPr>
            <w:tcW w:w="360" w:type="dxa"/>
            <w:vAlign w:val="bottom"/>
          </w:tcPr>
          <w:p>
            <w:pPr>
              <w:spacing w:after="0"/>
              <w:rPr>
                <w:sz w:val="15"/>
                <w:szCs w:val="15"/>
                <w:color w:val="auto"/>
              </w:rPr>
            </w:pPr>
          </w:p>
        </w:tc>
        <w:tc>
          <w:tcPr>
            <w:tcW w:w="128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Sale</w:t>
            </w:r>
          </w:p>
        </w:tc>
        <w:tc>
          <w:tcPr>
            <w:tcW w:w="16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19"/>
                <w:szCs w:val="19"/>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(Securitized)</w:t>
            </w:r>
          </w:p>
        </w:tc>
        <w:tc>
          <w:tcPr>
            <w:tcW w:w="3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232,305</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Reclassification of loans from HFI to HFS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(144,944)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(144,944)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2,540,948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2,540,948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Immediate resale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(2,540,948)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(2,540,948)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(57,993)</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(19,130)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changes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Changes due to deconsolidation</w:t>
            </w: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(57,222)</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Purchases of loans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159,398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378,526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Purchase of loans for immediate resale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8,713,476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8,713,476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(8,713,476)</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Repayments received</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(22,612)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(33,190)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Other changes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252,477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aggregate fair value and aggregate principal outstanding of all loans and loans that were 90 days or more past due included in the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Loans</w:t>
            </w:r>
          </w:p>
        </w:tc>
        <w:tc>
          <w:tcPr>
            <w:tcW w:w="1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Loans &gt; 90 Days Past Due</w:t>
            </w:r>
          </w:p>
        </w:tc>
      </w:tr>
      <w:tr>
        <w:trPr>
          <w:trHeight w:val="218"/>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4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principal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0"/>
              </w:rPr>
              <w:t>97,497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8"/>
              </w:rPr>
              <w:t>277,228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fair value and accrued interest adjustments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2"/>
              </w:rPr>
              <w:t>(19,037)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5"/>
              </w:rPr>
              <w:t>(24,751)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r>
      <w:tr>
        <w:trPr>
          <w:trHeight w:val="248"/>
        </w:trPr>
        <w:tc>
          <w:tcPr>
            <w:tcW w:w="44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Fair value</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90"/>
              </w:rPr>
              <w:t>78,460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8"/>
              </w:rPr>
              <w:t>252,477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Includes $2.4 million and $50.1 million of auto loans as of December 31, 2020 and 2021, respectively, of which an immaterial amount is 90 days or more past due for each period presented.</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related to Securitization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and 2021, the Company held notes receivable and residual certificates with an aggregate fair value of $19.1 million and $8.3 million, respectively. The balances consist of securitization notes and residual certificates corresponding to the 5% economic risk retention the Company is required to maintain as the retaining sponsor of the unconsolidated securitizations.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discounted cash flow methodology, which is used to estimate the fair value of notes receivable and residual certificates, uses the same projected net cash flows as their related loans. This model uses inputs that are inherently judgmental and reflect the Company’s best estimates of the assumptions a market participant would use to calculate fair value.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of assets related to securitization transactions: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 2020</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8"/>
              </w:rPr>
              <w:t>December 31, 2021</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Minimum</w:t>
            </w:r>
          </w:p>
        </w:tc>
        <w:tc>
          <w:tcPr>
            <w:tcW w:w="100" w:type="dxa"/>
            <w:vAlign w:val="bottom"/>
          </w:tcPr>
          <w:p>
            <w:pPr>
              <w:spacing w:after="0"/>
              <w:rPr>
                <w:sz w:val="14"/>
                <w:szCs w:val="14"/>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c>
          <w:tcPr>
            <w:tcW w:w="130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4"/>
                <w:szCs w:val="14"/>
                <w:color w:val="auto"/>
              </w:rPr>
            </w:pPr>
          </w:p>
        </w:tc>
        <w:tc>
          <w:tcPr>
            <w:tcW w:w="13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Minimum</w:t>
            </w:r>
          </w:p>
        </w:tc>
        <w:tc>
          <w:tcPr>
            <w:tcW w:w="8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130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0" w:type="dxa"/>
            <w:vAlign w:val="bottom"/>
            <w:gridSpan w:val="2"/>
          </w:tcPr>
          <w:p>
            <w:pPr>
              <w:jc w:val="right"/>
              <w:ind w:right="360"/>
              <w:spacing w:after="0" w:line="230" w:lineRule="exact"/>
              <w:rPr>
                <w:sz w:val="20"/>
                <w:szCs w:val="20"/>
                <w:color w:val="auto"/>
              </w:rPr>
            </w:pPr>
            <w:r>
              <w:rPr>
                <w:rFonts w:ascii="Arial" w:cs="Arial" w:eastAsia="Arial" w:hAnsi="Arial"/>
                <w:sz w:val="18"/>
                <w:szCs w:val="18"/>
                <w:b w:val="1"/>
                <w:bCs w:val="1"/>
                <w:color w:val="auto"/>
              </w:rPr>
              <w:t xml:space="preserve">Average </w:t>
            </w:r>
            <w:r>
              <w:rPr>
                <w:rFonts w:ascii="Arial" w:cs="Arial" w:eastAsia="Arial" w:hAnsi="Arial"/>
                <w:sz w:val="23"/>
                <w:szCs w:val="23"/>
                <w:b w:val="1"/>
                <w:bCs w:val="1"/>
                <w:color w:val="auto"/>
                <w:vertAlign w:val="superscript"/>
              </w:rPr>
              <w:t>(2)</w:t>
            </w: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300" w:type="dxa"/>
            <w:vAlign w:val="bottom"/>
          </w:tcPr>
          <w:p>
            <w:pPr>
              <w:jc w:val="right"/>
              <w:ind w:right="170"/>
              <w:spacing w:after="0" w:line="230" w:lineRule="exact"/>
              <w:rPr>
                <w:sz w:val="20"/>
                <w:szCs w:val="20"/>
                <w:color w:val="auto"/>
              </w:rPr>
            </w:pPr>
            <w:r>
              <w:rPr>
                <w:rFonts w:ascii="Arial" w:cs="Arial" w:eastAsia="Arial" w:hAnsi="Arial"/>
                <w:sz w:val="18"/>
                <w:szCs w:val="18"/>
                <w:b w:val="1"/>
                <w:bCs w:val="1"/>
                <w:color w:val="auto"/>
              </w:rPr>
              <w:t xml:space="preserve">Average </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05"/>
        </w:trPr>
        <w:tc>
          <w:tcPr>
            <w:tcW w:w="29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Notes receivable and residual</w:t>
            </w: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certificates</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300" w:type="dxa"/>
            <w:vAlign w:val="bottom"/>
          </w:tcPr>
          <w:p>
            <w:pPr>
              <w:jc w:val="right"/>
              <w:spacing w:after="0"/>
              <w:rPr>
                <w:sz w:val="20"/>
                <w:szCs w:val="20"/>
                <w:color w:val="auto"/>
              </w:rPr>
            </w:pPr>
            <w:r>
              <w:rPr>
                <w:rFonts w:ascii="Arial" w:cs="Arial" w:eastAsia="Arial" w:hAnsi="Arial"/>
                <w:sz w:val="18"/>
                <w:szCs w:val="18"/>
                <w:color w:val="auto"/>
              </w:rPr>
              <w:t>3.01 %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14.00 %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15.72 %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6.78 %</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18.47 %</w:t>
            </w:r>
          </w:p>
        </w:tc>
        <w:tc>
          <w:tcPr>
            <w:tcW w:w="0" w:type="dxa"/>
            <w:vAlign w:val="bottom"/>
          </w:tcPr>
          <w:p>
            <w:pPr>
              <w:spacing w:after="0"/>
              <w:rPr>
                <w:sz w:val="1"/>
                <w:szCs w:val="1"/>
                <w:color w:val="auto"/>
              </w:rPr>
            </w:pPr>
          </w:p>
        </w:tc>
      </w:tr>
      <w:tr>
        <w:trPr>
          <w:trHeight w:val="304"/>
        </w:trPr>
        <w:tc>
          <w:tcPr>
            <w:tcW w:w="2920" w:type="dxa"/>
            <w:vAlign w:val="bottom"/>
          </w:tcPr>
          <w:p>
            <w:pPr>
              <w:ind w:left="20"/>
              <w:spacing w:after="0"/>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300" w:type="dxa"/>
            <w:vAlign w:val="bottom"/>
          </w:tcPr>
          <w:p>
            <w:pPr>
              <w:jc w:val="right"/>
              <w:spacing w:after="0"/>
              <w:rPr>
                <w:sz w:val="20"/>
                <w:szCs w:val="20"/>
                <w:color w:val="auto"/>
              </w:rPr>
            </w:pPr>
            <w:r>
              <w:rPr>
                <w:rFonts w:ascii="Arial" w:cs="Arial" w:eastAsia="Arial" w:hAnsi="Arial"/>
                <w:sz w:val="18"/>
                <w:szCs w:val="18"/>
                <w:color w:val="auto"/>
              </w:rPr>
              <w:t>15.60 %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36.88 %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27.63 %</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15.60 %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36.08 %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27.82 %</w:t>
            </w: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480" w:hanging="472"/>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financial instruments</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under a discounted cash flow methodology of 20% would result in a 11% decrease in the fair value of the residual certificates.</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under a discounted cash flow methodology results in a decrease in fair value of the securities (including securitization notes and residual certificates) of 1.23% and 0.69% as of December 31, 2020 and 2021, respectively. On average, a hypothetical 200 basis point increase in discount rates results in a decrease in fair value of the securities (including securitization notes and residual certificates) of 2.36% and 1.37% as of December 31, 2020 and 2021, respectively.</w:t>
      </w:r>
    </w:p>
    <w:p>
      <w:pPr>
        <w:spacing w:after="0" w:line="2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securitization notes and residual certificates are not sensitive to adverse changes in expected prepayment rates as such changes would not result in a significant impact on the fair value as of December 31, 2020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include a rollforward of the notes receivable and residual certificates related to securitization transactions classified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within Level 3 of the fair value hierarchy: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Notes Receivable and</w:t>
            </w:r>
          </w:p>
        </w:tc>
      </w:tr>
      <w:tr>
        <w:trPr>
          <w:trHeight w:val="229"/>
        </w:trPr>
        <w:tc>
          <w:tcPr>
            <w:tcW w:w="9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Residual Certificates</w:t>
            </w:r>
          </w:p>
        </w:tc>
      </w:tr>
      <w:tr>
        <w:trPr>
          <w:trHeight w:val="223"/>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34,116</w:t>
            </w:r>
          </w:p>
        </w:tc>
      </w:tr>
      <w:tr>
        <w:trPr>
          <w:trHeight w:val="237"/>
        </w:trPr>
        <w:tc>
          <w:tcPr>
            <w:tcW w:w="9080" w:type="dxa"/>
            <w:vAlign w:val="bottom"/>
          </w:tcPr>
          <w:p>
            <w:pPr>
              <w:ind w:left="20"/>
              <w:spacing w:after="0"/>
              <w:rPr>
                <w:sz w:val="20"/>
                <w:szCs w:val="20"/>
                <w:color w:val="auto"/>
              </w:rPr>
            </w:pPr>
            <w:r>
              <w:rPr>
                <w:rFonts w:ascii="Arial" w:cs="Arial" w:eastAsia="Arial" w:hAnsi="Arial"/>
                <w:sz w:val="18"/>
                <w:szCs w:val="18"/>
                <w:color w:val="auto"/>
              </w:rPr>
              <w:t>Purchases and issuances of securitization notes and residual certificates</w:t>
            </w:r>
          </w:p>
        </w:tc>
        <w:tc>
          <w:tcPr>
            <w:tcW w:w="1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23"/>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19,074</w:t>
            </w:r>
          </w:p>
        </w:tc>
      </w:tr>
      <w:tr>
        <w:trPr>
          <w:trHeight w:val="223"/>
        </w:trPr>
        <w:tc>
          <w:tcPr>
            <w:tcW w:w="9080" w:type="dxa"/>
            <w:vAlign w:val="bottom"/>
          </w:tcPr>
          <w:p>
            <w:pPr>
              <w:ind w:left="20"/>
              <w:spacing w:after="0"/>
              <w:rPr>
                <w:sz w:val="20"/>
                <w:szCs w:val="20"/>
                <w:color w:val="auto"/>
              </w:rPr>
            </w:pPr>
            <w:r>
              <w:rPr>
                <w:rFonts w:ascii="Arial" w:cs="Arial" w:eastAsia="Arial" w:hAnsi="Arial"/>
                <w:sz w:val="18"/>
                <w:szCs w:val="18"/>
                <w:color w:val="auto"/>
              </w:rPr>
              <w:t>Repayments and settlements</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(11,458)</w:t>
            </w:r>
          </w:p>
        </w:tc>
      </w:t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3"/>
        </w:trPr>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Fair value at December 31,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8,288</w:t>
            </w:r>
          </w:p>
        </w:tc>
      </w:tr>
      <w:tr>
        <w:trPr>
          <w:trHeight w:val="21"/>
        </w:trPr>
        <w:tc>
          <w:tcPr>
            <w:tcW w:w="9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Servicing Assets and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Methodology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unpaid principal balance of the underlying loans, the expected cash flows in the model incorporate estimates of net losses and prepayments.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Inputs and Assumptions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the Company’s Level 3 fair value measurements for loan servicing assets and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8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 2020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3"/>
          </w:tcPr>
          <w:p>
            <w:pPr>
              <w:jc w:val="right"/>
              <w:ind w:right="1295"/>
              <w:spacing w:after="0"/>
              <w:rPr>
                <w:sz w:val="20"/>
                <w:szCs w:val="20"/>
                <w:color w:val="auto"/>
              </w:rPr>
            </w:pPr>
            <w:r>
              <w:rPr>
                <w:rFonts w:ascii="Arial" w:cs="Arial" w:eastAsia="Arial" w:hAnsi="Arial"/>
                <w:sz w:val="18"/>
                <w:szCs w:val="18"/>
                <w:b w:val="1"/>
                <w:bCs w:val="1"/>
                <w:color w:val="auto"/>
                <w:w w:val="91"/>
              </w:rPr>
              <w:t>December 31, 2021</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8"/>
                <w:szCs w:val="18"/>
                <w:b w:val="1"/>
                <w:bCs w:val="1"/>
                <w:color w:val="auto"/>
              </w:rPr>
              <w:t>Minimum</w:t>
            </w:r>
          </w:p>
        </w:tc>
        <w:tc>
          <w:tcPr>
            <w:tcW w:w="140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8"/>
                <w:szCs w:val="18"/>
                <w:b w:val="1"/>
                <w:bCs w:val="1"/>
                <w:color w:val="auto"/>
              </w:rPr>
              <w:t>Maximum</w:t>
            </w:r>
          </w:p>
        </w:tc>
        <w:tc>
          <w:tcPr>
            <w:tcW w:w="1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80" w:type="dxa"/>
            <w:vAlign w:val="bottom"/>
          </w:tcPr>
          <w:p>
            <w:pPr>
              <w:jc w:val="right"/>
              <w:ind w:right="595"/>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480" w:type="dxa"/>
            <w:vAlign w:val="bottom"/>
          </w:tcPr>
          <w:p>
            <w:pPr>
              <w:jc w:val="right"/>
              <w:ind w:right="595"/>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Credit risk rate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18.36 %</w:t>
            </w:r>
          </w:p>
        </w:tc>
        <w:tc>
          <w:tcPr>
            <w:tcW w:w="0" w:type="dxa"/>
            <w:vAlign w:val="bottom"/>
          </w:tcPr>
          <w:p>
            <w:pPr>
              <w:spacing w:after="0"/>
              <w:rPr>
                <w:sz w:val="1"/>
                <w:szCs w:val="1"/>
                <w:color w:val="auto"/>
              </w:rPr>
            </w:pPr>
          </w:p>
        </w:tc>
      </w:tr>
      <w:tr>
        <w:trPr>
          <w:trHeight w:val="256"/>
        </w:trPr>
        <w:tc>
          <w:tcPr>
            <w:tcW w:w="27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Market-servicing rate </w:t>
            </w:r>
            <w:r>
              <w:rPr>
                <w:rFonts w:ascii="Arial" w:cs="Arial" w:eastAsia="Arial" w:hAnsi="Arial"/>
                <w:sz w:val="23"/>
                <w:szCs w:val="23"/>
                <w:color w:val="auto"/>
                <w:vertAlign w:val="superscript"/>
              </w:rPr>
              <w:t>(3)(4)(5)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0.62 %</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3.73 %</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0.62 %</w:t>
            </w:r>
          </w:p>
        </w:tc>
        <w:tc>
          <w:tcPr>
            <w:tcW w:w="0" w:type="dxa"/>
            <w:vAlign w:val="bottom"/>
          </w:tcPr>
          <w:p>
            <w:pPr>
              <w:spacing w:after="0"/>
              <w:rPr>
                <w:sz w:val="1"/>
                <w:szCs w:val="1"/>
                <w:color w:val="auto"/>
              </w:rPr>
            </w:pPr>
          </w:p>
        </w:tc>
      </w:tr>
      <w:tr>
        <w:trPr>
          <w:trHeight w:val="304"/>
        </w:trPr>
        <w:tc>
          <w:tcPr>
            <w:tcW w:w="2700" w:type="dxa"/>
            <w:vAlign w:val="bottom"/>
          </w:tcPr>
          <w:p>
            <w:pPr>
              <w:ind w:left="20"/>
              <w:spacing w:after="0"/>
              <w:rPr>
                <w:sz w:val="20"/>
                <w:szCs w:val="20"/>
                <w:color w:val="auto"/>
              </w:rPr>
            </w:pPr>
            <w:r>
              <w:rPr>
                <w:rFonts w:ascii="Arial" w:cs="Arial" w:eastAsia="Arial" w:hAnsi="Arial"/>
                <w:sz w:val="18"/>
                <w:szCs w:val="18"/>
                <w:color w:val="auto"/>
              </w:rPr>
              <w:t xml:space="preserve">Prepayment rate </w:t>
            </w:r>
            <w:r>
              <w:rPr>
                <w:rFonts w:ascii="Arial" w:cs="Arial" w:eastAsia="Arial" w:hAnsi="Arial"/>
                <w:sz w:val="23"/>
                <w:szCs w:val="23"/>
                <w:color w:val="auto"/>
                <w:vertAlign w:val="superscript"/>
              </w:rPr>
              <w:t>(1)</w:t>
            </w:r>
          </w:p>
        </w:tc>
        <w:tc>
          <w:tcPr>
            <w:tcW w:w="1240" w:type="dxa"/>
            <w:vAlign w:val="bottom"/>
          </w:tcPr>
          <w:p>
            <w:pPr>
              <w:jc w:val="right"/>
              <w:spacing w:after="0"/>
              <w:rPr>
                <w:sz w:val="20"/>
                <w:szCs w:val="20"/>
                <w:color w:val="auto"/>
              </w:rPr>
            </w:pPr>
            <w:r>
              <w:rPr>
                <w:rFonts w:ascii="Arial" w:cs="Arial" w:eastAsia="Arial" w:hAnsi="Arial"/>
                <w:sz w:val="18"/>
                <w:szCs w:val="18"/>
                <w:color w:val="auto"/>
              </w:rPr>
              <w:t>9.07 %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89.01 %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31.62 %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91.43 %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36.39 %</w:t>
            </w: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480" w:hanging="472"/>
        <w:spacing w:after="0"/>
        <w:tabs>
          <w:tab w:leader="none" w:pos="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servicing arrangement</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Excludes ancillary fees that would be passed on to a third-party servicer</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Expressed as a percentage of the outstanding principal balance of the loan</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personal loans and auto loans</w:t>
      </w:r>
    </w:p>
    <w:p>
      <w:pPr>
        <w:spacing w:after="0" w:line="23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Discount rates</w:t>
      </w:r>
      <w:r>
        <w:rPr>
          <w:rFonts w:ascii="Arial" w:cs="Arial" w:eastAsia="Arial" w:hAnsi="Arial"/>
          <w:sz w:val="18"/>
          <w:szCs w:val="18"/>
          <w:color w:val="auto"/>
        </w:rPr>
        <w:t>–The discount rates are the Company’s estimate of the rates of return that market participants in servicing rights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when investing in similar servicing rights. Discount rates for servicing rights on existing loans are adjusted to reflect the time value of money and a risk premium intended to reflect the amount of</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compensation market participants would require due to the uncertainty associated with these instruments’ cash flows.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Credit risk rate</w:t>
      </w:r>
      <w:r>
        <w:rPr>
          <w:rFonts w:ascii="Arial" w:cs="Arial" w:eastAsia="Arial" w:hAnsi="Arial"/>
          <w:sz w:val="18"/>
          <w:szCs w:val="18"/>
          <w:color w:val="auto"/>
        </w:rPr>
        <w:t>s–The credit risk rates are the Company’s estimate of the net cumulative principal payments that will not be repaid over the entire</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a loan expressed as a percentage of the original principal amount of the loan. The assumption regarding net cumulative losses impact the projected balances and expected terms of the loans, which are used to project future servicing revenues.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Market-servicing rates</w:t>
      </w:r>
      <w:r>
        <w:rPr>
          <w:rFonts w:ascii="Arial" w:cs="Arial" w:eastAsia="Arial" w:hAnsi="Arial"/>
          <w:sz w:val="18"/>
          <w:szCs w:val="18"/>
          <w:color w:val="auto"/>
        </w:rPr>
        <w:t>–Market-servicing rate is an estimated measure of adequate compensation for a market participant, if one was required. The</w:t>
      </w:r>
      <w:r>
        <w:rPr>
          <w:rFonts w:ascii="Arial" w:cs="Arial" w:eastAsia="Arial" w:hAnsi="Arial"/>
          <w:sz w:val="18"/>
          <w:szCs w:val="18"/>
          <w:i w:val="1"/>
          <w:iCs w:val="1"/>
          <w:color w:val="auto"/>
        </w:rPr>
        <w:t xml:space="preserve"> </w:t>
      </w:r>
      <w:r>
        <w:rPr>
          <w:rFonts w:ascii="Arial" w:cs="Arial" w:eastAsia="Arial" w:hAnsi="Arial"/>
          <w:sz w:val="18"/>
          <w:szCs w:val="18"/>
          <w:color w:val="auto"/>
        </w:rPr>
        <w:t>rate is 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Prepayment rates</w:t>
      </w:r>
      <w:r>
        <w:rPr>
          <w:rFonts w:ascii="Arial" w:cs="Arial" w:eastAsia="Arial" w:hAnsi="Arial"/>
          <w:sz w:val="18"/>
          <w:szCs w:val="18"/>
          <w:color w:val="auto"/>
        </w:rPr>
        <w:t>–Prepayment rates are the Company’s estimate of the cumulative principal prepayments that will occur over the entire life of a</w:t>
      </w:r>
      <w:r>
        <w:rPr>
          <w:rFonts w:ascii="Arial" w:cs="Arial" w:eastAsia="Arial" w:hAnsi="Arial"/>
          <w:sz w:val="18"/>
          <w:szCs w:val="18"/>
          <w:i w:val="1"/>
          <w:iCs w:val="1"/>
          <w:color w:val="auto"/>
        </w:rPr>
        <w:t xml:space="preserve"> </w:t>
      </w:r>
      <w:r>
        <w:rPr>
          <w:rFonts w:ascii="Arial" w:cs="Arial" w:eastAsia="Arial" w:hAnsi="Arial"/>
          <w:sz w:val="18"/>
          <w:szCs w:val="18"/>
          <w:color w:val="auto"/>
        </w:rPr>
        <w:t>loan as a percentage of the original principal amount of the loan. The assumption regarding cumulative prepayments impact the projected balances and expected terms of the loans, which are used to project future servicing revenues.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Significant Recurring Level 3 Fair Value Input Sensitivity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table below presents the fair value sensitivity of loan servicing assets and liabilities to adverse changes in key assumptions. The fair value of loan servicing assets and liabilities is not sensitive to adverse changes in discount rates as such changes would not result in a significant impact on the fair value as of December 31, 2020 and 2021,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3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 servicing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18,388</w:t>
            </w:r>
          </w:p>
        </w:tc>
      </w:tr>
      <w:tr>
        <w:trPr>
          <w:trHeight w:val="209"/>
        </w:trPr>
        <w:tc>
          <w:tcPr>
            <w:tcW w:w="7860" w:type="dxa"/>
            <w:vAlign w:val="bottom"/>
          </w:tcPr>
          <w:p>
            <w:pPr>
              <w:ind w:left="20"/>
              <w:spacing w:after="0"/>
              <w:rPr>
                <w:sz w:val="20"/>
                <w:szCs w:val="20"/>
                <w:color w:val="auto"/>
              </w:rPr>
            </w:pPr>
            <w:r>
              <w:rPr>
                <w:rFonts w:ascii="Arial" w:cs="Arial" w:eastAsia="Arial" w:hAnsi="Arial"/>
                <w:sz w:val="18"/>
                <w:szCs w:val="18"/>
                <w:color w:val="auto"/>
              </w:rPr>
              <w:t>Expected market-servicing rates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 market-servicing rates increase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20% market-servicing rates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(38,027)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(11,002)</w:t>
            </w: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prepayment rates</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3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loan servicing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Expected market-servicing rates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6"/>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 market-servicing rates increase</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20% market-servicing rates increase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45,948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10,788</w:t>
            </w: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prepayment rates</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10% adverse change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 adverse change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r>
    </w:tbl>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present a rollforward of the loan servicing assets and liabilities classified by the Company within Level 3 of the fair value hierarchy: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Loan Servicing</w:t>
            </w:r>
          </w:p>
        </w:tc>
        <w:tc>
          <w:tcPr>
            <w:tcW w:w="160" w:type="dxa"/>
            <w:vAlign w:val="bottom"/>
          </w:tcPr>
          <w:p>
            <w:pPr>
              <w:spacing w:after="0"/>
              <w:rPr>
                <w:sz w:val="17"/>
                <w:szCs w:val="17"/>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Loan Servicing</w:t>
            </w:r>
          </w:p>
        </w:tc>
      </w:tr>
      <w:tr>
        <w:trPr>
          <w:trHeight w:val="230"/>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9"/>
                <w:szCs w:val="19"/>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5,739</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loans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14,324</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(13,798)</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Trailing Fee Liabilities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pays certain bank partners monthly trailing fees based on the amount and timing of principal and interest payments made by borrowers of the underlying loans. Significant inputs used for estimating the fair value of trailing fee liabilities included discount rates of 6.80% to 16.99% and credit risk rates of 0.36% to 52.31% as of December 31, 2020 and discount rates of 3.42% to 16.49% and credit risk rates of 0.08% to 55.79% as of December 31, 2021.</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sensitivity of trailing fee liabilities to adverse changes in key assumptions would not result in a material impact on the Company’s financial position.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Rollforward of Level 3 Fair Values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include a rollforward of trailing fee liabilities classified by the Company within Level 3 of the fair value hierarchy: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270"/>
              <w:spacing w:after="0"/>
              <w:rPr>
                <w:sz w:val="20"/>
                <w:szCs w:val="20"/>
                <w:color w:val="auto"/>
              </w:rPr>
            </w:pPr>
            <w:r>
              <w:rPr>
                <w:rFonts w:ascii="Arial" w:cs="Arial" w:eastAsia="Arial" w:hAnsi="Arial"/>
                <w:sz w:val="18"/>
                <w:szCs w:val="18"/>
                <w:b w:val="1"/>
                <w:bCs w:val="1"/>
                <w:color w:val="auto"/>
              </w:rPr>
              <w:t>Trailing Fee</w:t>
            </w:r>
          </w:p>
        </w:tc>
      </w:tr>
      <w:tr>
        <w:trPr>
          <w:trHeight w:val="230"/>
        </w:trPr>
        <w:tc>
          <w:tcPr>
            <w:tcW w:w="96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Liabilities</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2019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Issuances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1,130</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Issuances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4,275</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and settlements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at December 31, 2021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April 2021, the Company completed its acquisition of Prodigy Software, Inc. (“Prodigy”). Prodigy provides an e-commerce platform for car dealerships which enables both online and in-store vehicle discovery,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credit application, and checkout. Prodigy provides a modern multi-channel car buying experience, helping dealerships serve consumers with a holistic software solution that integrates legacy systems. In addition to modernizing the car buying experience, Prodigy will bring Upstart's AI enabled auto loans to dealerships across the country where a significant number of auto loans are transacted.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The total consideration the Company provided for Prodigy was $89.0 million, comprised of the following:</w:t>
            </w:r>
          </w:p>
        </w:tc>
        <w:tc>
          <w:tcPr>
            <w:tcW w:w="4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99"/>
        </w:trPr>
        <w:tc>
          <w:tcPr>
            <w:tcW w:w="88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April 8, 2021</w:t>
            </w:r>
          </w:p>
        </w:tc>
      </w:tr>
      <w:tr>
        <w:trPr>
          <w:trHeight w:val="223"/>
        </w:trPr>
        <w:tc>
          <w:tcPr>
            <w:tcW w:w="88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Fair value of Upstart common stock issued to Prodigy stockholders</w:t>
            </w:r>
            <w:r>
              <w:rPr>
                <w:rFonts w:ascii="Arial" w:cs="Arial" w:eastAsia="Arial" w:hAnsi="Arial"/>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70,121</w:t>
            </w:r>
          </w:p>
        </w:tc>
      </w:tr>
      <w:tr>
        <w:trPr>
          <w:trHeight w:val="229"/>
        </w:trPr>
        <w:tc>
          <w:tcPr>
            <w:tcW w:w="8840" w:type="dxa"/>
            <w:vAlign w:val="bottom"/>
          </w:tcPr>
          <w:p>
            <w:pPr>
              <w:ind w:left="20"/>
              <w:spacing w:after="0" w:line="230" w:lineRule="exact"/>
              <w:rPr>
                <w:sz w:val="20"/>
                <w:szCs w:val="20"/>
                <w:color w:val="auto"/>
              </w:rPr>
            </w:pPr>
            <w:r>
              <w:rPr>
                <w:rFonts w:ascii="Arial" w:cs="Arial" w:eastAsia="Arial" w:hAnsi="Arial"/>
                <w:sz w:val="18"/>
                <w:szCs w:val="18"/>
                <w:color w:val="auto"/>
              </w:rPr>
              <w:t>Cash paid to common and preferred stockholders, warrant holders, and vested option holders</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17,151</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assumed Prodigy options attributable to pre-combination service period</w:t>
            </w:r>
          </w:p>
        </w:tc>
        <w:tc>
          <w:tcPr>
            <w:tcW w:w="4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r>
      <w:tr>
        <w:trPr>
          <w:trHeight w:val="23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Transactions costs paid by Upstart on behalf of Prodigy</w:t>
            </w:r>
          </w:p>
        </w:tc>
        <w:tc>
          <w:tcPr>
            <w:tcW w:w="4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r>
      <w:tr>
        <w:trPr>
          <w:trHeight w:val="248"/>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89,044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w:t>
      </w:r>
    </w:p>
    <w:p>
      <w:pPr>
        <w:spacing w:after="0" w:line="17" w:lineRule="exact"/>
        <w:rPr>
          <w:sz w:val="20"/>
          <w:szCs w:val="20"/>
          <w:color w:val="auto"/>
        </w:rPr>
      </w:pPr>
    </w:p>
    <w:p>
      <w:pPr>
        <w:ind w:left="500" w:hanging="492"/>
        <w:spacing w:after="0" w:line="241" w:lineRule="auto"/>
        <w:tabs>
          <w:tab w:leader="none" w:pos="35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fair value is based on 568,539 shares of Company common stock at $123.33 per share, the closing stock price on April 8, 2021, and 87,339 shares are held in escrow as security for certain indemnification obligations of former Prodigy stockholders.</w:t>
      </w:r>
    </w:p>
    <w:p>
      <w:pPr>
        <w:ind w:left="360" w:hanging="352"/>
        <w:spacing w:after="0"/>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$1.9 million of the cash paid is being held in escrow as security for certain indemnification obligations of former Prodigy stockholders.</w:t>
      </w:r>
    </w:p>
    <w:p>
      <w:pPr>
        <w:spacing w:after="0" w:line="23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Excluded from the total purchase consideration above are 82,201 shares of the Company’s restricted common stock ("restricted stock") with a fair value of $10.1 million issued to certain Prodigy employees. The restricted stock is subject to transfer restrictions and a repurchase option and is contingent upon the employees' continued employment with the Company. The repurchase option will lapse with respect to 1/8th of the shares of restricted stock at the end of each successive three-month period following the closing date of the Prodigy acquisition. The Company will record stock-based compensation expense straight-line over the two-year period that the repurchase option lapses.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acquisition has been accounted for as a business combination. The purchase consideration was allocated to the tangible and intangible assets and liabilities acquired as of the acquisition date, with the excess recorded to goodwill as shown below. The values assigned to the assets acquired and liabilities assumed are based on preliminary estimates of fair value available to us and may be adjusted during the measurement period of up to 12 months from the date of acquisition as further information becomes available. No material adjustments to fair value of assets and liabilities were made as of December 31,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acquisition date: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April 8, 2021</w:t>
            </w:r>
          </w:p>
        </w:tc>
      </w:tr>
      <w:tr>
        <w:trPr>
          <w:trHeight w:val="223"/>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66,866</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Acquisition-related intangible assets</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23,200</w:t>
            </w: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Deferred tax liability, net</w:t>
            </w:r>
          </w:p>
        </w:tc>
        <w:tc>
          <w:tcPr>
            <w:tcW w:w="4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(2,328)</w:t>
            </w:r>
          </w:p>
        </w:tc>
      </w:tr>
      <w:tr>
        <w:trPr>
          <w:trHeight w:val="230"/>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acquired and liabilities assumed, net</w:t>
            </w:r>
          </w:p>
        </w:tc>
        <w:tc>
          <w:tcPr>
            <w:tcW w:w="4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884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89,044</w:t>
            </w:r>
          </w:p>
        </w:tc>
      </w:tr>
      <w:tr>
        <w:trPr>
          <w:trHeight w:val="20"/>
        </w:trPr>
        <w:tc>
          <w:tcPr>
            <w:tcW w:w="8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goodwill recognized was primarily attributable to the opportunity to bring Upstart's AI enabled auto loans to dealerships across the country where the vast majority of loans are transacted. The goodwill is not deductible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recognized acquisition-related costs of $1.2 million in the year ended December 31, 2021 which are included in the general and administrative expense in the consolidated statement of operations and comprehensive income (loss). No acquisition-related costs were incurred during the year ended 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24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Estimated fair values</w:t>
            </w:r>
          </w:p>
        </w:tc>
        <w:tc>
          <w:tcPr>
            <w:tcW w:w="100" w:type="dxa"/>
            <w:vAlign w:val="bottom"/>
          </w:tcPr>
          <w:p>
            <w:pPr>
              <w:spacing w:after="0"/>
              <w:rPr>
                <w:sz w:val="17"/>
                <w:szCs w:val="17"/>
                <w:color w:val="auto"/>
              </w:rPr>
            </w:pPr>
          </w:p>
        </w:tc>
        <w:tc>
          <w:tcPr>
            <w:tcW w:w="2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4"/>
              </w:rPr>
              <w:t>Estimated useful life (years)</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13,700</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acquisition-related intangible assets</w:t>
            </w:r>
          </w:p>
        </w:tc>
        <w:tc>
          <w:tcPr>
            <w:tcW w:w="180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23,200</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values of the acquisition-related intangibles were determined using the following methodologies: replacement cost method, the relief from royalty method, and the with/without method, a form of the income approach, for developed technology, trade name, and customer relationships, respectively. The acquired intangible assets have a total weighted-average amortization period of 8.3 years.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included the financial results of the acquired business in our consolidated financial statements from the date of acquisition. Revenues and expenses related to the acquisition for the year ended December 31, 2021 were not material. Pro forma results of operations have not been presented because the effects of this acquisition were not material to our financial results.</w:t>
      </w:r>
    </w:p>
    <w:p>
      <w:pPr>
        <w:spacing w:after="0" w:line="200" w:lineRule="exact"/>
        <w:rPr>
          <w:sz w:val="20"/>
          <w:szCs w:val="20"/>
          <w:color w:val="auto"/>
        </w:rPr>
      </w:pPr>
    </w:p>
    <w:p>
      <w:pPr>
        <w:spacing w:after="0" w:line="250"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3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Prodigy acquisition in April 2021, the Company recognized goodwill of $66.9 million. In the fourth quarter of 2021, the Company recorded a $0.2 million measurement period adjustment. As of December 31, 2021 goodwill included on the Company’s consolidated balance sheet was $67.1 million. There was no impairment during the period presented.</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Gross Carrying</w:t>
            </w:r>
          </w:p>
        </w:tc>
        <w:tc>
          <w:tcPr>
            <w:tcW w:w="220" w:type="dxa"/>
            <w:vAlign w:val="bottom"/>
          </w:tcPr>
          <w:p>
            <w:pPr>
              <w:spacing w:after="0"/>
              <w:rPr>
                <w:sz w:val="14"/>
                <w:szCs w:val="14"/>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4"/>
                <w:szCs w:val="14"/>
                <w:color w:val="auto"/>
              </w:rPr>
            </w:pPr>
          </w:p>
        </w:tc>
        <w:tc>
          <w:tcPr>
            <w:tcW w:w="1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Net Carrying</w:t>
            </w:r>
          </w:p>
        </w:tc>
        <w:tc>
          <w:tcPr>
            <w:tcW w:w="100" w:type="dxa"/>
            <w:vAlign w:val="bottom"/>
          </w:tcPr>
          <w:p>
            <w:pPr>
              <w:spacing w:after="0"/>
              <w:rPr>
                <w:sz w:val="14"/>
                <w:szCs w:val="14"/>
                <w:color w:val="auto"/>
              </w:rPr>
            </w:pPr>
          </w:p>
        </w:tc>
        <w:tc>
          <w:tcPr>
            <w:tcW w:w="16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Remaining Useful</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7,051</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12,844</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expense was $3.3 million for the year ended December 31, 2021 which includes an immaterial write-off of the trade name acquired intangible asset after the Company performed a qualitative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impairment assessment in the third quarter of 2021. There were no intangible assets subject to amortization for the year ended December 31, 2019 and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future amortization expense for intangible assets as of December 31, 2021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Fiscal Years:</w:t>
            </w:r>
          </w:p>
        </w:tc>
        <w:tc>
          <w:tcPr>
            <w:tcW w:w="6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2023</w:t>
            </w:r>
          </w:p>
        </w:tc>
        <w:tc>
          <w:tcPr>
            <w:tcW w:w="6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2025</w:t>
            </w:r>
          </w:p>
        </w:tc>
        <w:tc>
          <w:tcPr>
            <w:tcW w:w="6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9"/>
        </w:trPr>
        <w:tc>
          <w:tcPr>
            <w:tcW w:w="1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5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48"/>
        </w:trPr>
        <w:tc>
          <w:tcPr>
            <w:tcW w:w="1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6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b w:val="1"/>
                <w:bCs w:val="1"/>
                <w:color w:val="auto"/>
              </w:rPr>
              <w:t>7.</w:t>
            </w:r>
          </w:p>
        </w:tc>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Balance Sheet Components</w:t>
            </w: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280" w:type="dxa"/>
            <w:vAlign w:val="bottom"/>
            <w:vMerge w:val="continue"/>
          </w:tcPr>
          <w:p>
            <w:pPr>
              <w:spacing w:after="0"/>
              <w:rPr>
                <w:sz w:val="24"/>
                <w:szCs w:val="24"/>
                <w:color w:val="auto"/>
              </w:rPr>
            </w:pPr>
          </w:p>
        </w:tc>
        <w:tc>
          <w:tcPr>
            <w:tcW w:w="6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2"/>
          </w:tcPr>
          <w:p>
            <w:pPr>
              <w:ind w:left="660"/>
              <w:spacing w:after="0"/>
              <w:rPr>
                <w:sz w:val="20"/>
                <w:szCs w:val="20"/>
                <w:color w:val="auto"/>
              </w:rPr>
            </w:pPr>
            <w:r>
              <w:rPr>
                <w:rFonts w:ascii="Arial" w:cs="Arial" w:eastAsia="Arial" w:hAnsi="Arial"/>
                <w:sz w:val="18"/>
                <w:szCs w:val="18"/>
                <w:b w:val="1"/>
                <w:bCs w:val="1"/>
                <w:i w:val="1"/>
                <w:iCs w:val="1"/>
                <w:color w:val="auto"/>
              </w:rPr>
              <w:t>Other Assets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0" w:type="dxa"/>
            <w:vAlign w:val="bottom"/>
            <w:gridSpan w:val="2"/>
          </w:tcPr>
          <w:p>
            <w:pPr>
              <w:ind w:left="660"/>
              <w:spacing w:after="0"/>
              <w:rPr>
                <w:sz w:val="20"/>
                <w:szCs w:val="20"/>
                <w:color w:val="auto"/>
              </w:rPr>
            </w:pPr>
            <w:r>
              <w:rPr>
                <w:rFonts w:ascii="Arial" w:cs="Arial" w:eastAsia="Arial" w:hAnsi="Arial"/>
                <w:sz w:val="18"/>
                <w:szCs w:val="18"/>
                <w:color w:val="auto"/>
              </w:rPr>
              <w:t>Other assets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2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1280" w:type="dxa"/>
            <w:vAlign w:val="bottom"/>
            <w:tcBorders>
              <w:bottom w:val="single" w:sz="8" w:color="CCEEFF"/>
            </w:tcBorders>
          </w:tcPr>
          <w:p>
            <w:pPr>
              <w:spacing w:after="0"/>
              <w:rPr>
                <w:sz w:val="20"/>
                <w:szCs w:val="20"/>
                <w:color w:val="auto"/>
              </w:rPr>
            </w:pPr>
          </w:p>
        </w:tc>
        <w:tc>
          <w:tcPr>
            <w:tcW w:w="65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Servicing fees and other receivables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55,518</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Deposits</w:t>
            </w:r>
          </w:p>
        </w:tc>
        <w:tc>
          <w:tcPr>
            <w:tcW w:w="6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7,947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8,377</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Prepaid expenses</w:t>
            </w:r>
          </w:p>
        </w:tc>
        <w:tc>
          <w:tcPr>
            <w:tcW w:w="6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30,012</w:t>
            </w: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Loan servicing assets (at fair value)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18,388</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5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0" w:type="dxa"/>
            <w:vAlign w:val="bottom"/>
          </w:tcPr>
          <w:p>
            <w:pPr>
              <w:spacing w:after="0"/>
              <w:rPr>
                <w:sz w:val="1"/>
                <w:szCs w:val="1"/>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8"/>
                <w:szCs w:val="18"/>
                <w:color w:val="auto"/>
                <w:w w:val="86"/>
              </w:rPr>
              <w:t>Total other assets</w:t>
            </w:r>
          </w:p>
        </w:tc>
        <w:tc>
          <w:tcPr>
            <w:tcW w:w="65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40,046</w:t>
            </w: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121,104</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Servicing fees and other receivables represent amounts recognized as revenue but not yet collected in relation to servicing and other agreements with institutional investors and bank partners.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Arial" w:cs="Arial" w:eastAsia="Arial" w:hAnsi="Arial"/>
                <w:sz w:val="18"/>
                <w:szCs w:val="18"/>
                <w:color w:val="auto"/>
              </w:rPr>
              <w:t>Property, equipment, and software, net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68"/>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17,735</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Computer and networking equipment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3,796</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w:t>
            </w:r>
          </w:p>
        </w:tc>
      </w:tr>
      <w:tr>
        <w:trPr>
          <w:trHeight w:val="223"/>
        </w:trPr>
        <w:tc>
          <w:tcPr>
            <w:tcW w:w="7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equipment, and software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32,180</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39" w:name="page140"/>
    <w:bookmarkEnd w:id="1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2019, depreciation and amortization expense on property, equipment, and software was immaterial. For the year ended December 31, 2020 and 2021, depreciation and amortization expense on property, equipment, and software was $2.3 million and $4.2 million, respectively. Capitalized internally developed software balances, net of accumulated amortization, were $6.0 million and $13.5 million as of December 31, 2020 and 2021,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59"/>
        </w:trPr>
        <w:tc>
          <w:tcPr>
            <w:tcW w:w="7800" w:type="dxa"/>
            <w:vAlign w:val="bottom"/>
          </w:tcPr>
          <w:p>
            <w:pPr>
              <w:ind w:left="66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68"/>
        </w:trPr>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48,207</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37,293</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servicing liabilities (at fair value)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Trailing fee liability (at fair value)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4,315</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accrued expenses and other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103,418</w:t>
            </w: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aggregate principal outstanding of all loans mentioned in this note that are included in the consolidated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b w:val="1"/>
                <w:bCs w:val="1"/>
                <w:color w:val="auto"/>
              </w:rPr>
              <w:t>Borrowings</w:t>
            </w:r>
          </w:p>
        </w:tc>
      </w:tr>
      <w:tr>
        <w:trPr>
          <w:trHeight w:val="218"/>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48,030</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Risk retention funding loans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661,250</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payments due</w:t>
            </w: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62,681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709,787</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discount</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(14,355)</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borrowings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695,432</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October 2018, the Company and UNI entered into a mezzanine loan and security agreement to obtain a term loan of up to $15.0 million (the “Mezzanine Loan”). The Mezzanine Loan bore interest at the greater of prime rate plus 5.25% or 10.00% per annum, payable monthly. The principal balance was due upon maturity on October 1, 2021.</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June 2021, the Company repaid in full the $15.0 million principal balance outstanding under the Mezzanine Loan, plus accrued interest and prepayment fees, and terminated the Mezzanine Loan. In connection with the termination, the Company recognized the remaining unamortized debt discount and recognized an immaterial loss on debt extinguishment.</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2018, the Company and UNI entered into a revolving credit facility with a third-party lender for up to $5.5 million (the “UNI Credit Facility”). The UNI Credit Facility bore floating interest at the greater of prime rate plus 1.00% or 4.25% per annum, payable monthly, subject to a monthly minimum interest requirement prior to maturity. The UNI Credit Facility had an original termination and maturity date of June 1, 2020. In 2020, the parties agreed to extend the maturity date of the UNI Credit Facility to June 1, 2021 when the Company repaid in full the $5.5 million of outstanding principal, plus accrued interest, under the UNI Credit Facility and did not renew such facility.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Upstart Loan Trust Credit Facility</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November 2015, the Company’s consolidated VIE, Upstart Loan Trust (“ULT”), entered into a revolving credit and security agreement with a third-party lender (the “ULT Warehouse Credit Facility”). The credit and security agreement for the ULT Warehouse Credit Facility was amended and restated in its entirety in May 2020 and further amended in June 2021. Under the revolving credit and security agreement, as amended from time to time, ULT may borrow up to $100.0 million (subject to a borrowing base capacity) until the earlier of June 15, 2023 or the occurrence of an accelerated amortization event. An accelerated amortization event includes, but are not limited to, failure to satisfy certain loan performance metrics or the occurrence of an event of default. The proceeds may only be used to purchase unsecured personal loans from Upstart’s platform and to pay fees and expenses related to the credit facility. The ULT Warehouse Credit Facility matures on the earlier of June 15, 2024 or acceleration of the facility following an event of default, upon which date 100% of the outstanding principal amount, together with any accrued and unpaid interest, becomes due and payable. The entire amount of the outstanding principal and interest may be prepaid at any time without penalty. The ULT Warehouse Credit Facility bears a floating interest rate of LIBOR (the “ULT Benchmark Rate”) plus a spread ranging from 1.90% to 4.00% per annum, due and payable monthly in arrears. In the event that LIBOR ceases to be available, the ULT Benchmark Rate will be replaced with an alternative rate such as the Secured Overnight Financing Rate (“SOFR”). The Company is subject to additional interest payments under a minimum utilization requirement of $30 million, as well as a monthly unused fee ranging from 0.10% to 1.00% per annum on the undrawn balance. The maximum advance rate under the ULT Warehouse Credit Facility on outstanding principal of loans held by ULT was 80% as of December 31, 2020 and 85% as of December 31, 2021.</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ULT Warehouse Credit Facility contains certain financial covenants. As of December 31, 2020 and 2021, ULT was in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includes the aggregate balances held by ULT that were pledged as collateral for the ULT Warehouse Credit Facility and included in loans at fair value and restricted cash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ULT Warehouse Credit Facility</w:t>
            </w:r>
          </w:p>
        </w:tc>
        <w:tc>
          <w:tcPr>
            <w:tcW w:w="0" w:type="dxa"/>
            <w:vAlign w:val="bottom"/>
          </w:tcPr>
          <w:p>
            <w:pPr>
              <w:spacing w:after="0"/>
              <w:rPr>
                <w:sz w:val="1"/>
                <w:szCs w:val="1"/>
                <w:color w:val="auto"/>
              </w:rPr>
            </w:pPr>
          </w:p>
        </w:tc>
      </w:tr>
      <w:tr>
        <w:trPr>
          <w:trHeight w:val="176"/>
        </w:trPr>
        <w:tc>
          <w:tcPr>
            <w:tcW w:w="7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tcPr>
          <w:p>
            <w:pPr>
              <w:spacing w:after="0"/>
              <w:rPr>
                <w:sz w:val="15"/>
                <w:szCs w:val="15"/>
                <w:color w:val="auto"/>
              </w:rPr>
            </w:pPr>
          </w:p>
        </w:tc>
        <w:tc>
          <w:tcPr>
            <w:tcW w:w="1460" w:type="dxa"/>
            <w:vAlign w:val="bottom"/>
          </w:tcPr>
          <w:p>
            <w:pPr>
              <w:jc w:val="right"/>
              <w:ind w:right="230"/>
              <w:spacing w:after="0" w:line="176" w:lineRule="exact"/>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29"/>
        </w:trPr>
        <w:tc>
          <w:tcPr>
            <w:tcW w:w="7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7"/>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48,030</w:t>
            </w:r>
          </w:p>
        </w:tc>
        <w:tc>
          <w:tcPr>
            <w:tcW w:w="0" w:type="dxa"/>
            <w:vAlign w:val="bottom"/>
          </w:tcPr>
          <w:p>
            <w:pPr>
              <w:spacing w:after="0"/>
              <w:rPr>
                <w:sz w:val="1"/>
                <w:szCs w:val="1"/>
                <w:color w:val="auto"/>
              </w:rPr>
            </w:pP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Aggregate outstanding principal of loans pledged as collateral</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59,709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76,865</w:t>
            </w:r>
          </w:p>
        </w:tc>
        <w:tc>
          <w:tcPr>
            <w:tcW w:w="0" w:type="dxa"/>
            <w:vAlign w:val="bottom"/>
          </w:tcPr>
          <w:p>
            <w:pPr>
              <w:spacing w:after="0"/>
              <w:rPr>
                <w:sz w:val="1"/>
                <w:szCs w:val="1"/>
                <w:color w:val="auto"/>
              </w:rPr>
            </w:pPr>
          </w:p>
        </w:tc>
      </w:tr>
      <w:tr>
        <w:trPr>
          <w:trHeight w:val="26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fair value of loans purchased and held by ULT</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142,687</w:t>
            </w: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Restricted cash pledged as collateral</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76,256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Upstart Auto Warehouse Trust Credit Facility</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December 2021, the Company’s consolidated VIE, Upstart Auto Warehouse Trust (“UAWT”), entered into a revolving credit and security agreement with a third-party lender (the “UAWT Warehouse Credit Facility”). Under the revolving credit and security agreement, UAWT may borrow up to $100.0 million until the earlier of December 2022 or the occurrence of an accelerated amortization event. An accelerated amortization event includes, but are not limited to, failure to satisfy certain loan performance metrics or the occurrence of an event of default. The proceeds may only be used to purchase secured auto loans originated using Upstart’s platform and to pay fees and expenses related to the credit facility. The UAWT Warehouse Credit Facility matures in December 2023. The entire amount of the outstanding principal and accrued interest and fees may be prepaid at any time without penalty. Borrowings under the UAWT Warehouse Credit Facility bears interest per annum at a rate equivalent to the weighted-average cost of commercial paper notes issued by the lender (the “UAWT Benchmark Rate”), plus a spread ranging from 1.8% to 3.5%. In the event the UAWT Benchmark Rate cannot be adequately ascertained or available, the UAWT Benchmark Rate will be replaced with an alternative rate such as SOFR. In addition, the UAWT Warehouse Credit Facility is also subject to a monthly unused fee of 0.50% per annum on the undrawn balance. The maximum advance rate under the UAWT Auto Warehouse Trust Credit Facility on outstanding principal of loans held by UAWT was 82.5% as of December 31, 2021.</w:t>
      </w:r>
    </w:p>
    <w:p>
      <w:pPr>
        <w:spacing w:after="0" w:line="19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UAWT Warehouse Credit Facility contains certain financial covenants. As of December 31, 2021, UAWT was in compliance with all applicable covenants under the UAWT Warehouse Credit Facility. The creditors of UAT have no recourse to the general credit of the Company, except for certain limited obligations of UAWT to its creditors that are guaranteed by the Company. As of December 31, 2021, the Company has no outstanding borrowings or loans owned by UAWT that were pledged as collateral under the UAWT Warehouse Credit Facility.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Retention Funding Loans</w:t>
      </w:r>
    </w:p>
    <w:p>
      <w:pPr>
        <w:spacing w:after="0" w:line="23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In October 2018, Upstart RR Funding 2018-2, LLC (the “2018-2 RR entity”), a consolidated VIE of UNI, entered into a loan and security agreement (the “2018-2 RR Financing Agreement”) to finance the Company’s risk retention balance in the Upstart Securitization Trust 2018-2. Under this agreement, the balance borrowed by the 2018-2 RR entity has an interest rate of 4.00% per annum and is repaid using cash proceeds received by the 2018-2</w:t>
      </w:r>
    </w:p>
    <w:p>
      <w:pPr>
        <w:spacing w:after="0" w:line="2" w:lineRule="exact"/>
        <w:rPr>
          <w:sz w:val="20"/>
          <w:szCs w:val="20"/>
          <w:color w:val="auto"/>
        </w:rPr>
      </w:pPr>
    </w:p>
    <w:p>
      <w:pPr>
        <w:jc w:val="both"/>
        <w:ind w:firstLine="8"/>
        <w:spacing w:after="0" w:line="255" w:lineRule="auto"/>
        <w:tabs>
          <w:tab w:leader="none" w:pos="2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entity as part of monthly cash distributions from the 2018-2 securitization on securitization notes and residual certificates. As of December 31, 2020, the outstanding principal balance under the 2018-2 RR Financing Agreement was immaterial. In April 2021, the Company repaid the outstanding principal and accrued interest in full.</w:t>
      </w:r>
    </w:p>
    <w:p>
      <w:pPr>
        <w:spacing w:after="0" w:line="2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September 2019, Upstart RR Funding 2019-2, LLC (the “2019-2 RR entity”), a consolidated VIE of UNI, entered into a loan and security agreement (the “2019-2 RR Financing Agreement”) to finance the Company’s risk retention balance in the Upstart Securitization Trust 2019-2. Under this agreement, the balance borrowed by the 2019-2 RR entity has an annual interest rate of 4.33% and is repaid using cash proceeds received by the 2019-2 RR entity as part of monthly cash distributions from the 2019-2 securitization on securitization notes and residual certificates. As of December 31, 2020 and 2021, the outstanding principal balance under the 2019-2 RR Financing Agreement was $6.6 million and $0.5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borrowings are solely the obligations of the 2018-2 RR entity and 2019-2 RR entity, respectively, and the Company is not obligated thereon. The securities and other assets owned by each RR entity are not available to settle the claims of creditors of the Company. Assets pledged as collateral for the risk retention funding loans include $12.6 million and $4.8 million of securities held for risk retention for the 2018-2 and 2019-2 securitization transactions, included in notes receivables and residual certificates on the consolidated balance sheets as of December 31, 2020 and 2021, respectively.</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20, 2021, the Company issued $661.3 million aggregate principal amount of 0.25% convertible senior notes due 2026 (“Notes”) pursuant to an indenture (the “Indenture”), (including the exercise in full of the initial purchasers’ option of an additional $86.3 million aggregate principal of additional notes) in a private placement to qualified institutional buyers pursuant to Rule 144A under the Securities Act of 1933, as amended. The net proceeds from the sale of the Notes were $645.5 million after deducting debt issuance costs.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Notes represent senior unsecured obligations of the Company and bear interest at a rate of 0.25% per year, payable semiannually in arrears on February 15 and August 15 of each year beginning on February 15, 2022. The Notes mature on August 15, 2026 unless earlier converted, redeemed, or repurchased in accordance with their terms.</w:t>
      </w:r>
    </w:p>
    <w:p>
      <w:pPr>
        <w:spacing w:after="0" w:line="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Notes will be convertible at an initial conversion rate of 3.5056 shares of our common stock per $1,000 principal amount of Notes, which is equivalent to an initial conversion price of $285.26 per share, subject to adjustment if certain events occur. Following certain corporate events that may occur prior to the maturity date or following our issuance of a notice of redemption, the Company will increase the conversion rate for a holder who elects to convert its Notes in connection with such corporate event or during the related redemption period in certain circumstances. Additionally, upon the occurrence of a corporate event that constitutes a “fundamental change” per the Indenture, holders of the Notes may require the Company to repurchase for cash all or a portion of their respective notes at a purchase price equal to 100% of the principal amount of the Note plus accrued and unpaid interest.</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Holders may convert their Notes at their option any time prior to the close of business on the business day immediately preceding May 15, 2026 only under the following circumstances:</w:t>
      </w:r>
    </w:p>
    <w:p>
      <w:pPr>
        <w:spacing w:after="0" w:line="197" w:lineRule="exact"/>
        <w:rPr>
          <w:sz w:val="20"/>
          <w:szCs w:val="20"/>
          <w:color w:val="auto"/>
        </w:rPr>
      </w:pPr>
    </w:p>
    <w:p>
      <w:pPr>
        <w:jc w:val="both"/>
        <w:ind w:firstLine="656"/>
        <w:spacing w:after="0" w:line="311" w:lineRule="auto"/>
        <w:tabs>
          <w:tab w:leader="none" w:pos="9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2021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5" w:lineRule="exact"/>
        <w:rPr>
          <w:rFonts w:ascii="Arial" w:cs="Arial" w:eastAsia="Arial" w:hAnsi="Arial"/>
          <w:sz w:val="16"/>
          <w:szCs w:val="16"/>
          <w:color w:val="auto"/>
        </w:rPr>
      </w:pPr>
    </w:p>
    <w:p>
      <w:pPr>
        <w:jc w:val="both"/>
        <w:ind w:firstLine="656"/>
        <w:spacing w:after="0" w:line="263" w:lineRule="auto"/>
        <w:tabs>
          <w:tab w:leader="none" w:pos="919"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the five business-day period after any five consecutive trading-day period in which the trading price per $1,000 principal amount of Notes for each trading day of such five consecutive trading-day period was less than 98% of the product of the last reported sale price of the Common Stock and the conversion rate on each such trading day;</w:t>
      </w:r>
    </w:p>
    <w:p>
      <w:pPr>
        <w:spacing w:after="0" w:line="210" w:lineRule="exact"/>
        <w:rPr>
          <w:rFonts w:ascii="Arial" w:cs="Arial" w:eastAsia="Arial" w:hAnsi="Arial"/>
          <w:sz w:val="18"/>
          <w:szCs w:val="18"/>
          <w:color w:val="auto"/>
        </w:rPr>
      </w:pPr>
    </w:p>
    <w:p>
      <w:pPr>
        <w:ind w:firstLine="656"/>
        <w:spacing w:after="0" w:line="277" w:lineRule="auto"/>
        <w:tabs>
          <w:tab w:leader="none" w:pos="913"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we call any or all of the Notes for redemption, at any time prior to the close of business on the second scheduled trading day immediately preceding the redemption date; or</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or after May 15, 2026, until the close of business on the second scheduled trading day immediately preceding the maturity date, holders of the Notes may convert all or any portion of their Notes regardless of the foregoing conditions. Upon conversion, the Company will pay or deliver, as the case may be, either cash, shares of common stock or a combination of cash and shares of common stock, at its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may not redeem the Notes prior to August 20, 2024. The Company may redeem for cash all or any portion of the Notes, at our option, on or after August 20, 2024, if the last reported sale price of our common stock has been at least 130% of the conversion price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at a redemption price equal to 100% of the principal amount of the Notes to be redeemed, plus any accrued and unpaid interest to, but excluding, the redemption date.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$15.7 million and consisted of underwriting fees and third-party offering costs, which are amortized to interest expense using the effective interest method over the contractual term. For the year ended December 31, 2021, the Company recorded $0.6 million of coupon interest expense and amortization of debt issuance costs of $1.4 million within expense on warrants and convertible notes, net on the consolidated statements of operations and comprehensive income (loss). The effective interest rate of the Notes is 0.7%.</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used $58.5 million of the net proceeds from the Notes to enter into privately negotiated capped call instruments (“Capped Calls”) with certain financial institutions. The Capped Calls each have an initial strike price of $285.26 per share, subject to certain adjustments, which corresponds to the initial conversion price of the Notes. The Capped Calls each have an initial cap price of $400.36 per share. The Capped Calls cover, subject to anti-dilution adjustments, 2.3 million shares of common stock. The Capped Calls are expected to reduce the potential dilution to common stock upon any conversion of Notes and/or offset any cash payments the Company is required to make in excess of the principal amount of converted Notes, as the case may be, in the event the market price per share of common stock, as measured under the terms of the Capped Call, is greater than the strike price of the Capped Call, with such reduction and/or offset subject to a cap. If, however, the market price per share of the common stock, as measured under the terms of the Capped Call, exceeds the cap price of the Capped Calls, there would be dilution and/or there would not be an offset of such potential cash payments, in each case, to the extent that such market price per share of the common stock exceeds the cap price of the Capped Calls. The Capped Calls expire on August 15, 2026, subject to earlier exercise.</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aggregate amount of maturities of all borrowings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r>
      <w:tr>
        <w:trPr>
          <w:trHeight w:val="229"/>
        </w:trPr>
        <w:tc>
          <w:tcPr>
            <w:tcW w:w="1040" w:type="dxa"/>
            <w:vAlign w:val="bottom"/>
            <w:tcBorders>
              <w:bottom w:val="single" w:sz="8" w:color="CCEEFF"/>
            </w:tcBorders>
          </w:tcPr>
          <w:p>
            <w:pPr>
              <w:spacing w:after="0"/>
              <w:rPr>
                <w:sz w:val="19"/>
                <w:szCs w:val="19"/>
                <w:color w:val="auto"/>
              </w:rPr>
            </w:pPr>
          </w:p>
        </w:tc>
        <w:tc>
          <w:tcPr>
            <w:tcW w:w="85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5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2023</w:t>
            </w:r>
          </w:p>
        </w:tc>
        <w:tc>
          <w:tcPr>
            <w:tcW w:w="8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48,030</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2025</w:t>
            </w:r>
          </w:p>
        </w:tc>
        <w:tc>
          <w:tcPr>
            <w:tcW w:w="8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661,250</w:t>
            </w:r>
          </w:p>
        </w:tc>
      </w:tr>
      <w:tr>
        <w:trPr>
          <w:trHeight w:val="229"/>
        </w:trPr>
        <w:tc>
          <w:tcPr>
            <w:tcW w:w="1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5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1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8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709,787</w:t>
            </w: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743"/>
        </w:trPr>
        <w:tc>
          <w:tcPr>
            <w:tcW w:w="1040" w:type="dxa"/>
            <w:vAlign w:val="bottom"/>
          </w:tcPr>
          <w:p>
            <w:pPr>
              <w:ind w:left="660"/>
              <w:spacing w:after="0"/>
              <w:rPr>
                <w:sz w:val="20"/>
                <w:szCs w:val="20"/>
                <w:color w:val="auto"/>
              </w:rPr>
            </w:pPr>
            <w:r>
              <w:rPr>
                <w:rFonts w:ascii="Arial" w:cs="Arial" w:eastAsia="Arial" w:hAnsi="Arial"/>
                <w:sz w:val="18"/>
                <w:szCs w:val="18"/>
                <w:b w:val="1"/>
                <w:bCs w:val="1"/>
                <w:color w:val="auto"/>
              </w:rPr>
              <w:t>9.</w:t>
            </w:r>
          </w:p>
        </w:tc>
        <w:tc>
          <w:tcPr>
            <w:tcW w:w="8760" w:type="dxa"/>
            <w:vAlign w:val="bottom"/>
            <w:gridSpan w:val="2"/>
          </w:tcPr>
          <w:p>
            <w:pPr>
              <w:jc w:val="right"/>
              <w:ind w:right="6670"/>
              <w:spacing w:after="0"/>
              <w:rPr>
                <w:sz w:val="20"/>
                <w:szCs w:val="20"/>
                <w:color w:val="auto"/>
              </w:rPr>
            </w:pPr>
            <w:r>
              <w:rPr>
                <w:rFonts w:ascii="Arial" w:cs="Arial" w:eastAsia="Arial" w:hAnsi="Arial"/>
                <w:sz w:val="18"/>
                <w:szCs w:val="18"/>
                <w:b w:val="1"/>
                <w:bCs w:val="1"/>
                <w:color w:val="auto"/>
              </w:rPr>
              <w:t>Equity Incentive Plans</w:t>
            </w:r>
          </w:p>
        </w:tc>
        <w:tc>
          <w:tcPr>
            <w:tcW w:w="14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amended and restated certificate of incorporation authorizes the issuance of 700,000,000 shares of common stock with a par value of $0.0001 per share. Shares of common stock reserved for issuance, on an as-converted basis,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19"/>
                <w:szCs w:val="19"/>
                <w:color w:val="auto"/>
              </w:rPr>
            </w:pPr>
          </w:p>
        </w:tc>
        <w:tc>
          <w:tcPr>
            <w:tcW w:w="1740" w:type="dxa"/>
            <w:vAlign w:val="bottom"/>
            <w:gridSpan w:val="2"/>
          </w:tcPr>
          <w:p>
            <w:pPr>
              <w:ind w:left="300"/>
              <w:spacing w:after="0"/>
              <w:rPr>
                <w:sz w:val="20"/>
                <w:szCs w:val="20"/>
                <w:color w:val="auto"/>
              </w:rPr>
            </w:pPr>
            <w:r>
              <w:rPr>
                <w:rFonts w:ascii="Arial" w:cs="Arial" w:eastAsia="Arial" w:hAnsi="Arial"/>
                <w:sz w:val="18"/>
                <w:szCs w:val="18"/>
                <w:b w:val="1"/>
                <w:bCs w:val="1"/>
                <w:color w:val="auto"/>
              </w:rPr>
              <w:t>December 31,</w:t>
            </w:r>
          </w:p>
        </w:tc>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issued and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19,600,223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12,785,176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RSUs outstanding</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1,508,615</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future issuance under 2020 plan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2,537,181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9,979,700</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Shares available for issuance under ESPP</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1,869,302</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22,212,404</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26,142,793</w:t>
            </w:r>
          </w:p>
        </w:tc>
      </w:tr>
      <w:tr>
        <w:trPr>
          <w:trHeight w:val="21"/>
        </w:trPr>
        <w:tc>
          <w:tcPr>
            <w:tcW w:w="7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2012, the Company adopted the Equity Incentive Plan (“2012 Equity Incentive Plan”) authorizing the granting of incentive stock options (“ISOs”) and non-statutory stock options (“NSOs”) to eligible participants. Under the 2012 Equity Incentive Plan,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grant if the employee provides service to the Company for at least three years.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October 2020, our Board of Directors adopted, and in November 2020 our Board of Directors amended and our stockholders approved, our 2020 Equity Incentive Plan which was effective on December 14, 2020. The Company terminated the 2012 Equity Incentive Plan immediately prior to effectiveness of the 2020 Equity Incentive Plan with respect to the grant of future awards. However, our 2012 Equity Incentive Plan continues to govern the terms and conditions of the outstanding awards granted under our 2012 Equity Incentive Plan.</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2020 Equity Incentive Plan authorizes granting of ISOs, NSOs, stock appreciation rights, restricted stock, restricted stock units, or RSUs, and performance awards. In addition, the 2020 Equity Incentive Plan also includes any shares subject to awards granted under our 2012 Equity Incentive Plan that, on or after December 15, 2020, expire or otherwise terminate without having been exercised or issued in full, are tendered to or withheld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for payment of an exercise price or for satisfying tax withholding obligations, or are forfeited to or repurchased by us due to failure to vest. The maximum number of shares that may be added to the 2020 Equity Incentive Plan pursuant to outstanding awards under the 2012 Equity Incentive Plan is 15,000,000 shares. The number of shares available for issuance under our 2020 Equity Incentive Plan also includes an annual increase on the first day of each fiscal year beginning with 2021 in an amount equal to the lesser of 15,000,000 shares or 5% of the outstanding shares of our common stock on the last day of our immediately preceding fiscal year.</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Company’s acquisition of Prodigy, the Company assumed the Prodigy Software, Inc. 2015 Stock Incentive Plan (the “Prodigy Plan”), under which certain unvested options under the Prodigy Plan were assumed by the Company. The assumed options are subject to the same terms and conditions that were applicable to them under the Prodigy Plan, except that (i) the assumed options relate to shares of Upstart’s common stock, and (ii) the number of shares of Upstart’s common stock was the result of an adjustment based upon a ratio as described further in the Registration Statement on Form S-8 filed with the SEC on April 16, 2021.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summarized stock option activity for the year ended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20" w:type="dxa"/>
            <w:vAlign w:val="bottom"/>
          </w:tcPr>
          <w:p>
            <w:pPr>
              <w:spacing w:after="0"/>
              <w:rPr>
                <w:sz w:val="17"/>
                <w:szCs w:val="17"/>
                <w:color w:val="auto"/>
              </w:rPr>
            </w:pPr>
          </w:p>
        </w:tc>
        <w:tc>
          <w:tcPr>
            <w:tcW w:w="128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Exercise Price Per</w:t>
            </w:r>
          </w:p>
        </w:tc>
        <w:tc>
          <w:tcPr>
            <w:tcW w:w="16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Contractual Life</w:t>
            </w:r>
          </w:p>
        </w:tc>
        <w:tc>
          <w:tcPr>
            <w:tcW w:w="220" w:type="dxa"/>
            <w:vAlign w:val="bottom"/>
          </w:tcPr>
          <w:p>
            <w:pPr>
              <w:spacing w:after="0"/>
              <w:rPr>
                <w:sz w:val="15"/>
                <w:szCs w:val="15"/>
                <w:color w:val="auto"/>
              </w:rPr>
            </w:pPr>
          </w:p>
        </w:tc>
        <w:tc>
          <w:tcPr>
            <w:tcW w:w="12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Share</w:t>
            </w: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(years)</w:t>
            </w:r>
          </w:p>
        </w:tc>
        <w:tc>
          <w:tcPr>
            <w:tcW w:w="220" w:type="dxa"/>
            <w:vAlign w:val="bottom"/>
          </w:tcPr>
          <w:p>
            <w:pPr>
              <w:spacing w:after="0"/>
              <w:rPr>
                <w:sz w:val="19"/>
                <w:szCs w:val="19"/>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19,600,223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715,084</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612,384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105.68</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assumed upon acquisition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Options 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(7,047,722)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cancelled and 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Balances at December 31,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12,785,176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1,803,812</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 exercisable – December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7,471,578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1,105,683</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Options vested and expected to vest – December 31, 2021</w:t>
            </w:r>
          </w:p>
        </w:tc>
        <w:tc>
          <w:tcPr>
            <w:tcW w:w="1500" w:type="dxa"/>
            <w:vAlign w:val="bottom"/>
          </w:tcPr>
          <w:p>
            <w:pPr>
              <w:jc w:val="right"/>
              <w:spacing w:after="0"/>
              <w:rPr>
                <w:sz w:val="20"/>
                <w:szCs w:val="20"/>
                <w:color w:val="auto"/>
              </w:rPr>
            </w:pPr>
            <w:r>
              <w:rPr>
                <w:rFonts w:ascii="Arial" w:cs="Arial" w:eastAsia="Arial" w:hAnsi="Arial"/>
                <w:sz w:val="18"/>
                <w:szCs w:val="18"/>
                <w:color w:val="auto"/>
              </w:rPr>
              <w:t>12,689,220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1,793,628</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aggregate intrinsic value is calculated as the difference between the exercise price of the underlying awards and the fair value of the Company’s stock as of December 31, 2021. The aggregate intrinsic value of options exercised for the year ended December 31, 2019, 2020 and 2021, was $2.1 million, $50.0 million, and $1,391.7 million, respectively. The weighted-average grant date fair value of options granted during the year ended December 31, 2019, 2020 and 2021, was $3.99, $11.04, and $62.06 per share, respectively. The weighted-average fair value of options assumed in connection with an acquisition was $74.84 per share for the year ended December 31, 2021. The total fair value of options vested for the year ended December 31, 2019, 2020 and 2021, was $2.7 million, $7.9 million, and $23.5 million, respectively.</w:t>
      </w:r>
    </w:p>
    <w:p>
      <w:pPr>
        <w:spacing w:after="0" w:line="20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May 2021, the Company amended an employee stock option agreement which resulted in a modification of the vesting of a certain number of option shares. The Company valued the amended stock options as of the modification date. Based on the Black-Scholes option pricing model fair value, incremental stock-based compensation expense of $4.4 million resulting from the modification was recognized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total unrecognized stock-based compensation expense related to unvested stock options was $55.7 million, which is expected to be recognized over a remaining weighted-average period of 1.9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3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year ended December 31, 2021, the Company began granting RSUs to employees and nonemployees. RSUs vest upon satisfaction of a service-based condition, which is generally satisfied over four years. The following table summarized RSU activity for the year ended December 31,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Weighted-Average Grant</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RSUs granted</w:t>
            </w:r>
          </w:p>
        </w:tc>
        <w:tc>
          <w:tcPr>
            <w:tcW w:w="2240" w:type="dxa"/>
            <w:vAlign w:val="bottom"/>
          </w:tcPr>
          <w:p>
            <w:pPr>
              <w:jc w:val="right"/>
              <w:spacing w:after="0"/>
              <w:rPr>
                <w:sz w:val="20"/>
                <w:szCs w:val="20"/>
                <w:color w:val="auto"/>
              </w:rPr>
            </w:pPr>
            <w:r>
              <w:rPr>
                <w:rFonts w:ascii="Arial" w:cs="Arial" w:eastAsia="Arial" w:hAnsi="Arial"/>
                <w:sz w:val="18"/>
                <w:szCs w:val="18"/>
                <w:color w:val="auto"/>
              </w:rPr>
              <w:t>1,605,235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138.27</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RSUs vested</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RSUs cancelled and forfeited</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(63,811)</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1,508,615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total unrecognized stock-based compensation expense related to outstanding unvested RSUs was $180.5 million, which is expected to be recognized over a remaining weighted-average period of 3.0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3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In connection with the Prodigy acquisition, 82,201 shares of the Company’s restricted stock were issued to certain Prodigy employees. The restricted stock is subject to restrictions which lapse on a quarterly basis over two years. Refer to </w:t>
      </w:r>
      <w:r>
        <w:rPr>
          <w:rFonts w:ascii="Arial" w:cs="Arial" w:eastAsia="Arial" w:hAnsi="Arial"/>
          <w:sz w:val="17"/>
          <w:szCs w:val="17"/>
          <w:i w:val="1"/>
          <w:iCs w:val="1"/>
          <w:color w:val="auto"/>
        </w:rPr>
        <w:t>“Note 5. Acquisitions</w:t>
      </w:r>
      <w:r>
        <w:rPr>
          <w:rFonts w:ascii="Arial" w:cs="Arial" w:eastAsia="Arial" w:hAnsi="Arial"/>
          <w:sz w:val="17"/>
          <w:szCs w:val="17"/>
          <w:color w:val="auto"/>
        </w:rPr>
        <w:t>” for further information.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summarized Restricted Stock activity for the year ended December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2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Weighted-Average Grant</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Date Fair Value Per Share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Restricted</w:t>
            </w:r>
          </w:p>
        </w:tc>
        <w:tc>
          <w:tcPr>
            <w:tcW w:w="2240" w:type="dxa"/>
            <w:vAlign w:val="bottom"/>
          </w:tcPr>
          <w:p>
            <w:pPr>
              <w:jc w:val="right"/>
              <w:spacing w:after="0"/>
              <w:rPr>
                <w:sz w:val="20"/>
                <w:szCs w:val="20"/>
                <w:color w:val="auto"/>
              </w:rPr>
            </w:pPr>
            <w:r>
              <w:rPr>
                <w:rFonts w:ascii="Arial" w:cs="Arial" w:eastAsia="Arial" w:hAnsi="Arial"/>
                <w:sz w:val="18"/>
                <w:szCs w:val="18"/>
                <w:color w:val="auto"/>
              </w:rPr>
              <w:t>82,201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121.65</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Unvested at December 31, 2021</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total unrecognized stock-based compensation expense related to restricted stock was $6.4 million, which is expected to be recognized over a remaining weighted-average period of 1.3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2020, our Board of Directors adopted, and in November 2020 our Board of Directors amended and our stockholders approved, our ESPP which was effective on December 14, 2020. Our ESPP provides for consecutive six-month offering periods. The offering periods are scheduled to start on the first trading day on or after February 15 and August 15 of each year, except the first offering period commenced on December 16, 2020 and ended on the first trading day on or before August 15, 2021. The second offering period commenced on the last trading day on or after August 15, 2021. The ESPP permits participants to purchase shares in the amount of 85% of the lower of the fair market value of our shares of common stock on the first trading day of the offering period 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exercise date. During the year ended December 31, 2021, 243,725 shares of common stock were purchased under the ESPP.</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total unrecognized stock-based compensation expense related to the ESPP was $0.8 million, which is expected to be recognized over a remaining weighted-average period of 0.1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Awards Granted</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determining the fair value of the stock-based awards, the Company uses the Black-Scholes option-pricing model and assumptions discussed below. Each of these inputs is subjective and generally requires significant judgment.</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–Prior to the completion of the IPO, the fair value of the shares of common stock was determined by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as there was no public market for the Company’s common stock. After the completion of the IPO, the fair value of the Company’s common stock is determined by the closing price, on the date of grant, of its common stock, which is traded on the Nasdaq Global Select Market.</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Company’s stock options are expected to be outstanding. We estimate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based on the simplified method, which is the weighted-average time to vesting and the contractual maturity.</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–Because the Company does not have an active trading market for its common stock for a sufficient period of time,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estimated based on the average volatility for comparable publicly-traded companies, over a period equal to the expected term of the stock option grants.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assumption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–The Company has never paid dividends on its common stock and does not anticipate paying dividends on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uses an expected dividend yield of zero.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assumptions were used to estimate the fair value of options granted: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1"/>
              </w:rPr>
              <w:t>Year Ended December 31,</w:t>
            </w:r>
          </w:p>
        </w:tc>
        <w:tc>
          <w:tcPr>
            <w:tcW w:w="9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2019</w:t>
            </w:r>
          </w:p>
        </w:tc>
        <w:tc>
          <w:tcPr>
            <w:tcW w:w="2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9"/>
                <w:szCs w:val="19"/>
                <w:color w:val="auto"/>
              </w:rPr>
            </w:pPr>
          </w:p>
        </w:tc>
        <w:tc>
          <w:tcPr>
            <w:tcW w:w="194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5.5 – 10.0</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5.3 – 10.0</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6.9</w:t>
            </w: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80" w:type="dxa"/>
            <w:vAlign w:val="bottom"/>
          </w:tcPr>
          <w:p>
            <w:pPr>
              <w:jc w:val="right"/>
              <w:spacing w:after="0"/>
              <w:rPr>
                <w:sz w:val="20"/>
                <w:szCs w:val="20"/>
                <w:color w:val="auto"/>
              </w:rPr>
            </w:pPr>
            <w:r>
              <w:rPr>
                <w:rFonts w:ascii="Arial" w:cs="Arial" w:eastAsia="Arial" w:hAnsi="Arial"/>
                <w:sz w:val="18"/>
                <w:szCs w:val="18"/>
                <w:color w:val="auto"/>
              </w:rPr>
              <w:t>55.69%</w:t>
            </w:r>
          </w:p>
        </w:tc>
        <w:tc>
          <w:tcPr>
            <w:tcW w:w="1020" w:type="dxa"/>
            <w:vAlign w:val="bottom"/>
          </w:tcPr>
          <w:p>
            <w:pPr>
              <w:ind w:left="20"/>
              <w:spacing w:after="0"/>
              <w:rPr>
                <w:sz w:val="20"/>
                <w:szCs w:val="20"/>
                <w:color w:val="auto"/>
              </w:rPr>
            </w:pPr>
            <w:r>
              <w:rPr>
                <w:rFonts w:ascii="Arial" w:cs="Arial" w:eastAsia="Arial" w:hAnsi="Arial"/>
                <w:sz w:val="18"/>
                <w:szCs w:val="18"/>
                <w:color w:val="auto"/>
              </w:rPr>
              <w:t>– 59.23%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53.23%</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 72.02%</w:t>
            </w:r>
          </w:p>
        </w:tc>
        <w:tc>
          <w:tcPr>
            <w:tcW w:w="900" w:type="dxa"/>
            <w:vAlign w:val="bottom"/>
          </w:tcPr>
          <w:p>
            <w:pPr>
              <w:jc w:val="right"/>
              <w:spacing w:after="0"/>
              <w:rPr>
                <w:sz w:val="20"/>
                <w:szCs w:val="20"/>
                <w:color w:val="auto"/>
              </w:rPr>
            </w:pPr>
            <w:r>
              <w:rPr>
                <w:rFonts w:ascii="Arial" w:cs="Arial" w:eastAsia="Arial" w:hAnsi="Arial"/>
                <w:sz w:val="18"/>
                <w:szCs w:val="18"/>
                <w:color w:val="auto"/>
              </w:rPr>
              <w:t>45.98%</w:t>
            </w:r>
          </w:p>
        </w:tc>
        <w:tc>
          <w:tcPr>
            <w:tcW w:w="1040" w:type="dxa"/>
            <w:vAlign w:val="bottom"/>
          </w:tcPr>
          <w:p>
            <w:pPr>
              <w:ind w:left="20"/>
              <w:spacing w:after="0"/>
              <w:rPr>
                <w:sz w:val="20"/>
                <w:szCs w:val="20"/>
                <w:color w:val="auto"/>
              </w:rPr>
            </w:pPr>
            <w:r>
              <w:rPr>
                <w:rFonts w:ascii="Arial" w:cs="Arial" w:eastAsia="Arial" w:hAnsi="Arial"/>
                <w:sz w:val="18"/>
                <w:szCs w:val="18"/>
                <w:color w:val="auto"/>
              </w:rPr>
              <w:t>– 65.01%</w:t>
            </w: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2.40%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1.34%</w:t>
            </w: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020" w:type="dxa"/>
            <w:vAlign w:val="bottom"/>
            <w:gridSpan w:val="3"/>
          </w:tcPr>
          <w:p>
            <w:pPr>
              <w:jc w:val="center"/>
              <w:ind w:right="8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310"/>
        </w:trPr>
        <w:tc>
          <w:tcPr>
            <w:tcW w:w="7180" w:type="dxa"/>
            <w:vAlign w:val="bottom"/>
            <w:gridSpan w:val="3"/>
          </w:tcPr>
          <w:p>
            <w:pPr>
              <w:ind w:left="660"/>
              <w:spacing w:after="0"/>
              <w:rPr>
                <w:sz w:val="20"/>
                <w:szCs w:val="20"/>
                <w:color w:val="auto"/>
              </w:rPr>
            </w:pPr>
            <w:r>
              <w:rPr>
                <w:rFonts w:ascii="Arial" w:cs="Arial" w:eastAsia="Arial" w:hAnsi="Arial"/>
                <w:sz w:val="18"/>
                <w:szCs w:val="18"/>
                <w:color w:val="auto"/>
                <w:w w:val="91"/>
              </w:rPr>
              <w:t>The following assumptions were used to estimate the fair value of ESPP purchase rights: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2"/>
              </w:rPr>
              <w:t>Year Ended</w:t>
            </w:r>
          </w:p>
        </w:tc>
      </w:tr>
      <w:tr>
        <w:trPr>
          <w:trHeight w:val="230"/>
        </w:trPr>
        <w:tc>
          <w:tcPr>
            <w:tcW w:w="8080" w:type="dxa"/>
            <w:vAlign w:val="bottom"/>
            <w:tcBorders>
              <w:bottom w:val="single" w:sz="8" w:color="CCEEFF"/>
            </w:tcBorders>
          </w:tcPr>
          <w:p>
            <w:pPr>
              <w:spacing w:after="0"/>
              <w:rPr>
                <w:sz w:val="19"/>
                <w:szCs w:val="19"/>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 2021</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3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0.5 - 0.6</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160" w:type="dxa"/>
            <w:vAlign w:val="bottom"/>
          </w:tcPr>
          <w:p>
            <w:pPr>
              <w:jc w:val="center"/>
              <w:spacing w:after="0"/>
              <w:rPr>
                <w:sz w:val="20"/>
                <w:szCs w:val="20"/>
                <w:color w:val="auto"/>
              </w:rPr>
            </w:pPr>
            <w:r>
              <w:rPr>
                <w:rFonts w:ascii="Arial" w:cs="Arial" w:eastAsia="Arial" w:hAnsi="Arial"/>
                <w:sz w:val="18"/>
                <w:szCs w:val="18"/>
                <w:color w:val="auto"/>
                <w:w w:val="91"/>
              </w:rPr>
              <w:t>61.65% - 152.95%</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0.05% - 0.09%</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316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recorded stock-based compensation in the following expense categories in its consolidated statements of operations and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comprehensive income (loss) for employees and nonemployees:</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6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w:t>
            </w:r>
          </w:p>
        </w:tc>
        <w:tc>
          <w:tcPr>
            <w:tcW w:w="0" w:type="dxa"/>
            <w:vAlign w:val="bottom"/>
          </w:tcPr>
          <w:p>
            <w:pPr>
              <w:spacing w:after="0"/>
              <w:rPr>
                <w:sz w:val="1"/>
                <w:szCs w:val="1"/>
                <w:color w:val="auto"/>
              </w:rPr>
            </w:pPr>
          </w:p>
        </w:tc>
      </w:tr>
      <w:tr>
        <w:trPr>
          <w:trHeight w:val="229"/>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Customer operations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Engineering and product development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39,191</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General, administrative, and other</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21,685</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rPr>
              <w:t>Stock-based compensation expense by award type was as follows: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1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30,985</w:t>
            </w:r>
          </w:p>
        </w:tc>
        <w:tc>
          <w:tcPr>
            <w:tcW w:w="0" w:type="dxa"/>
            <w:vAlign w:val="bottom"/>
          </w:tcPr>
          <w:p>
            <w:pPr>
              <w:spacing w:after="0"/>
              <w:rPr>
                <w:sz w:val="1"/>
                <w:szCs w:val="1"/>
                <w:color w:val="auto"/>
              </w:rPr>
            </w:pPr>
          </w:p>
        </w:tc>
      </w:tr>
      <w:tr>
        <w:trPr>
          <w:trHeight w:val="229"/>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RSUs</w:t>
            </w:r>
          </w:p>
        </w:tc>
        <w:tc>
          <w:tcPr>
            <w:tcW w:w="10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31,548</w:t>
            </w:r>
          </w:p>
        </w:tc>
        <w:tc>
          <w:tcPr>
            <w:tcW w:w="0" w:type="dxa"/>
            <w:vAlign w:val="bottom"/>
          </w:tcPr>
          <w:p>
            <w:pPr>
              <w:spacing w:after="0"/>
              <w:rPr>
                <w:sz w:val="1"/>
                <w:szCs w:val="1"/>
                <w:color w:val="auto"/>
              </w:rPr>
            </w:pPr>
          </w:p>
        </w:tc>
      </w:tr>
      <w:tr>
        <w:trPr>
          <w:trHeight w:val="23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0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Restricted Stock</w:t>
            </w:r>
          </w:p>
        </w:tc>
        <w:tc>
          <w:tcPr>
            <w:tcW w:w="108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operating leases expire between 2027 and 2032 and are primarily for its corporate headquarters in San Mateo, California and Columbus, Ohio, as well as additional office space for origination and servicing operations in Columbus, Ohio. Certain leases have rent abatement, escalating rent payment provisions, lease renewal options, and tenant allowances. Rent expense is recognized on a straight-line basis over the non-cancelable lease term, except when it is reasonably certain that the renewal option will be exercised. For leases where the Company is reasonably certain to exercise a renewal option, such option periods have been included in the determination of the Company’s ROU assets and lease liabilities on our consolidated balance sheets.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Company’s lease agreements, letters of credit were issued on behalf of the Company for the benefit of the landlord in an aggregate amount of $3.4 million. The letters of credit are secured by certificates of deposit which are included in restricted cash on the consolidated balance sheets.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future minimum lease payments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9" w:name="page150"/>
    <w:bookmarkEnd w:id="1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Operating Leases</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14,741</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16,574</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17,050</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51,954</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129,067</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Less: Tenant improvement receivables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(8,914)</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Present value adjustment</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(19,787)</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100,366</w:t>
            </w:r>
          </w:p>
        </w:tc>
      </w:tr>
      <w:tr>
        <w:trPr>
          <w:trHeight w:val="21"/>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2021 the Company did not have any material finance leases. The Company’s operating lease expense consists of rent and variable lease payments. Variable lease payments such as common area maintenance and parking fees, were included in operating expenses. Rent expense for the Company’s short-term leases was immaterial for the years presented. Operating lease expense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Variable lease payments</w:t>
            </w:r>
          </w:p>
        </w:tc>
        <w:tc>
          <w:tcPr>
            <w:tcW w:w="1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1,650</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and non-cash information related to the Company’s operating leases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Borders>
              <w:bottom w:val="single" w:sz="8" w:color="auto"/>
            </w:tcBorders>
          </w:tcPr>
          <w:p>
            <w:pPr>
              <w:spacing w:after="0"/>
              <w:rPr>
                <w:sz w:val="20"/>
                <w:szCs w:val="20"/>
                <w:color w:val="auto"/>
              </w:rPr>
            </w:pPr>
          </w:p>
        </w:tc>
      </w:tr>
      <w:tr>
        <w:trPr>
          <w:trHeight w:val="223"/>
        </w:trPr>
        <w:tc>
          <w:tcPr>
            <w:tcW w:w="108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w:t>
            </w:r>
          </w:p>
        </w:tc>
      </w:tr>
      <w:tr>
        <w:trPr>
          <w:trHeight w:val="23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Total right-of-use assets capitalized</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83,463</w:t>
            </w:r>
          </w:p>
        </w:tc>
      </w:tr>
      <w:tr>
        <w:trPr>
          <w:trHeight w:val="553"/>
        </w:trPr>
        <w:tc>
          <w:tcPr>
            <w:tcW w:w="7860" w:type="dxa"/>
            <w:vAlign w:val="bottom"/>
            <w:gridSpan w:val="5"/>
          </w:tcPr>
          <w:p>
            <w:pPr>
              <w:ind w:left="660"/>
              <w:spacing w:after="0"/>
              <w:rPr>
                <w:sz w:val="20"/>
                <w:szCs w:val="20"/>
                <w:color w:val="auto"/>
              </w:rPr>
            </w:pPr>
            <w:r>
              <w:rPr>
                <w:rFonts w:ascii="Arial" w:cs="Arial" w:eastAsia="Arial" w:hAnsi="Arial"/>
                <w:sz w:val="18"/>
                <w:szCs w:val="18"/>
                <w:color w:val="auto"/>
                <w:w w:val="90"/>
              </w:rPr>
              <w:t>Supplemental balance sheet information related to the Company’s operating leases was as follows: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68"/>
        </w:trPr>
        <w:tc>
          <w:tcPr>
            <w:tcW w:w="10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1080" w:type="dxa"/>
            <w:vAlign w:val="bottom"/>
            <w:tcBorders>
              <w:bottom w:val="single" w:sz="8" w:color="CCEEFF"/>
            </w:tcBorders>
          </w:tcPr>
          <w:p>
            <w:pPr>
              <w:spacing w:after="0"/>
              <w:rPr>
                <w:sz w:val="20"/>
                <w:szCs w:val="20"/>
                <w:color w:val="auto"/>
              </w:rPr>
            </w:pPr>
          </w:p>
        </w:tc>
        <w:tc>
          <w:tcPr>
            <w:tcW w:w="504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8.01</w:t>
            </w:r>
          </w:p>
        </w:tc>
      </w:tr>
      <w:tr>
        <w:trPr>
          <w:trHeight w:val="23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color w:val="auto"/>
                <w:w w:val="90"/>
              </w:rPr>
              <w:t>3.83%</w:t>
            </w:r>
          </w:p>
        </w:tc>
      </w:tr>
      <w:tr>
        <w:trPr>
          <w:trHeight w:val="769"/>
        </w:trPr>
        <w:tc>
          <w:tcPr>
            <w:tcW w:w="1080" w:type="dxa"/>
            <w:vAlign w:val="bottom"/>
          </w:tcPr>
          <w:p>
            <w:pPr>
              <w:ind w:left="660"/>
              <w:spacing w:after="0"/>
              <w:rPr>
                <w:sz w:val="20"/>
                <w:szCs w:val="20"/>
                <w:color w:val="auto"/>
              </w:rPr>
            </w:pPr>
            <w:r>
              <w:rPr>
                <w:rFonts w:ascii="Arial" w:cs="Arial" w:eastAsia="Arial" w:hAnsi="Arial"/>
                <w:sz w:val="18"/>
                <w:szCs w:val="18"/>
                <w:b w:val="1"/>
                <w:bCs w:val="1"/>
                <w:color w:val="auto"/>
              </w:rPr>
              <w:t>11.</w:t>
            </w:r>
          </w:p>
        </w:tc>
        <w:tc>
          <w:tcPr>
            <w:tcW w:w="5040" w:type="dxa"/>
            <w:vAlign w:val="bottom"/>
          </w:tcPr>
          <w:p>
            <w:pPr>
              <w:ind w:left="200"/>
              <w:spacing w:after="0"/>
              <w:rPr>
                <w:sz w:val="20"/>
                <w:szCs w:val="20"/>
                <w:color w:val="auto"/>
              </w:rPr>
            </w:pPr>
            <w:r>
              <w:rPr>
                <w:rFonts w:ascii="Arial" w:cs="Arial" w:eastAsia="Arial" w:hAnsi="Arial"/>
                <w:sz w:val="18"/>
                <w:szCs w:val="18"/>
                <w:b w:val="1"/>
                <w:bCs w:val="1"/>
                <w:color w:val="auto"/>
              </w:rPr>
              <w:t>Commitments and Contingencies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Loan Purchase Obligation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Company’s loan agreements with certain bank partners, the banks retain ownership of the loans facilitated through Upstart’s platform for three days or longer (the “holding period”) after origination, as required</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50" w:name="page151"/>
    <w:bookmarkEnd w:id="1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respective agreements. The Company has committed to purchase the loans at the unpaid principal balance, plus accrued interest, at the conclusion of the required holding period. As of December 31, 2020 and 2021, the total loan purchase commitment included outstanding principal balance of $39.3 million and $111.3 million,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Repurchase and Indemnification Contingency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investors, or a violation of the applicable federal, state, or local lending laws.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maximum potential amount of future payments associated under this obligation is the outstanding balances of the loans sold to the investors, which at December 31, 2020 and 2021 is $5,180.7 million and $12,905.5 million, respectively. Actual payments made relating to the Company’s repurchase and indemnification obligations were immaterial historically. The Company has recorded contingent liabilities as of December 31, 2020 and 2021 of immaterial amounts to cover estimated future obligations related to these contractual terms. These amounts are included in accrued expenses and other liabilities on the Company’s consolidated balance sheets.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From time to time the Company is subject to, and it is presently involved in, litigation and other legal proceedings. 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As of December 31, 2020 and 2021, no loss contingency has been recorded in connection with legal proceedings arising in the ordinary course of business.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Although the Company cannot reasonably determine the outcome of any litigation or tax matters, it does not believe there are currently any such actions that, if resolved unfavorably, would have a material impact on its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consolidated financial statements.</w:t>
      </w:r>
    </w:p>
    <w:p>
      <w:pPr>
        <w:spacing w:after="0" w:line="172" w:lineRule="exact"/>
        <w:rPr>
          <w:sz w:val="20"/>
          <w:szCs w:val="20"/>
          <w:color w:val="auto"/>
        </w:rPr>
      </w:pPr>
    </w:p>
    <w:p>
      <w:pPr>
        <w:ind w:left="1300" w:hanging="725"/>
        <w:spacing w:after="0"/>
        <w:tabs>
          <w:tab w:leader="none" w:pos="1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1" w:name="page152"/>
    <w:bookmarkEnd w:id="1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567"/>
        <w:spacing w:after="0" w:line="248" w:lineRule="auto"/>
        <w:rPr>
          <w:sz w:val="20"/>
          <w:szCs w:val="20"/>
          <w:color w:val="auto"/>
        </w:rPr>
      </w:pPr>
      <w:r>
        <w:rPr>
          <w:rFonts w:ascii="Arial" w:cs="Arial" w:eastAsia="Arial" w:hAnsi="Arial"/>
          <w:sz w:val="18"/>
          <w:szCs w:val="18"/>
          <w:color w:val="auto"/>
        </w:rPr>
        <w:t>Income (loss) before income taxes consisted entirely of income (loss) from domestic operations of $(4.9) million, $6.0 million and $133.7 million for the calendar year ended December 31, 2019, 2020 and 2021, respectively. Income tax expense (benefit) included in the statements of operations and comprehensive income (loss) consisted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Federal</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tax expense</w:t>
            </w:r>
          </w:p>
        </w:tc>
        <w:tc>
          <w:tcPr>
            <w:tcW w:w="1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Federal</w:t>
            </w:r>
          </w:p>
        </w:tc>
        <w:tc>
          <w:tcPr>
            <w:tcW w:w="120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2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2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expense</w:t>
            </w:r>
          </w:p>
        </w:tc>
        <w:tc>
          <w:tcPr>
            <w:tcW w:w="12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(benefit) for income taxes</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Income tax expense differed from the amount computed by applying the federal statutory income tax rate of 21% to pretax income as a result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28,084</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State income taxes, net of federal tax benefit</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 on warrants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(236,726)</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(19,103)</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PPP loan forgiveness (CARES Act)</w:t>
            </w:r>
          </w:p>
        </w:tc>
        <w:tc>
          <w:tcPr>
            <w:tcW w:w="10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222,230</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Tax return to tax provision adjustment</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162(m) limitation</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r>
      <w:tr>
        <w:trPr>
          <w:trHeight w:val="20"/>
        </w:trPr>
        <w:tc>
          <w:tcPr>
            <w:tcW w:w="6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567"/>
        <w:spacing w:after="0" w:line="261" w:lineRule="auto"/>
        <w:rPr>
          <w:sz w:val="20"/>
          <w:szCs w:val="20"/>
          <w:color w:val="auto"/>
        </w:rPr>
      </w:pPr>
      <w:r>
        <w:rPr>
          <w:rFonts w:ascii="Arial" w:cs="Arial" w:eastAsia="Arial" w:hAnsi="Arial"/>
          <w:sz w:val="18"/>
          <w:szCs w:val="18"/>
          <w:color w:val="auto"/>
        </w:rPr>
        <w:t>The tax effects of temporary differences that gave rise to significant portions of the Company’s deferred tax assets and liabilities related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2" w:name="page153"/>
    <w:bookmarkEnd w:id="1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78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14,716</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297,851</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29,870</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29,046</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transactions</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15,184</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9,895</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partnerships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6,908</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rights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27,315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390,458</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(21,241)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(351,542)</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assets – net of valuation allowance</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38,916</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Right of use asset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28,606</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Servicing rights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2,859</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10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6,074</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567"/>
        <w:spacing w:after="0" w:line="248" w:lineRule="auto"/>
        <w:rPr>
          <w:sz w:val="20"/>
          <w:szCs w:val="20"/>
          <w:color w:val="auto"/>
        </w:rPr>
      </w:pPr>
      <w:r>
        <w:rPr>
          <w:rFonts w:ascii="Arial" w:cs="Arial" w:eastAsia="Arial" w:hAnsi="Arial"/>
          <w:sz w:val="18"/>
          <w:szCs w:val="18"/>
          <w:color w:val="auto"/>
        </w:rPr>
        <w:t>Included in the Company’s net deferred tax assets were the deferred tax effects associated with the fair value of the assets acquired and liabilities assumed from the acquisition of Prodigy Software, Inc. and acquired tax attributes that carry over to post-acquisition tax periods, including U.S. and state net operating losses and tax credits.</w:t>
      </w:r>
    </w:p>
    <w:p>
      <w:pPr>
        <w:spacing w:after="0" w:line="209" w:lineRule="exact"/>
        <w:rPr>
          <w:sz w:val="20"/>
          <w:szCs w:val="20"/>
          <w:color w:val="auto"/>
        </w:rPr>
      </w:pPr>
    </w:p>
    <w:p>
      <w:pPr>
        <w:jc w:val="both"/>
        <w:ind w:firstLine="567"/>
        <w:spacing w:after="0" w:line="241" w:lineRule="auto"/>
        <w:rPr>
          <w:sz w:val="20"/>
          <w:szCs w:val="20"/>
          <w:color w:val="auto"/>
        </w:rPr>
      </w:pPr>
      <w:r>
        <w:rPr>
          <w:rFonts w:ascii="Arial" w:cs="Arial" w:eastAsia="Arial" w:hAnsi="Arial"/>
          <w:sz w:val="18"/>
          <w:szCs w:val="18"/>
          <w:color w:val="auto"/>
        </w:rPr>
        <w:t>Management believes that, based on available evidence, both positive and negative, it is more likely than not that the deferred tax assets will not be utilized. During Q2 2021, in conjunction with its acquisition of Prodigy, the Company released $1.9 million valuation allowance attributed to ASC 805-740-30-3, and acquisitions with deferred tax liabilities that, upon acquisition, allowed us to recognize certain deferred tax assets of $1.9 million which had previously been offset by a valuation allowance. The valuation allowance increased by $330.3 million for the year ended December 31, 2021 primarily as a result of current year activities.</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December 31, 2021, the Company had $992.1 million and $1,296.1 million of federal and state (post-apportioned) net operating losses (NOL), that will begin to expire in 2035 and 2034, respectively. The Company also has Federal and California research and development tax credits of $31.1 million and $12.9 million, respectively. The federal research credits will begin to expire in 2032 and the California research credits have no expiration date. The Internal Revenue Code (IRC) limits the amount of NOL carryforwards that a company may use in a given year in the event of certain cumulative changes in ownership over a three-year period as described in Section 382 of the IRC. Utilization of NOL carryforwards and credits may be subject to a substantial annual limitation due to the ownership change limitations provided by the IRC, as amended, and similar state provisions. The annual limitation may result in the expiration of net operating losses and credits before utilization. The Company performed an ownership analysis and identified two previous ownership changes in 2013 and 2015, as defined under IRC Sections 382 and 383, however neither resulted in a material limitation that will reduce the total amount of NOL carryforwards and credits that can be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3" w:name="page154"/>
    <w:bookmarkEnd w:id="1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gridSpan w:val="5"/>
          </w:tcPr>
          <w:p>
            <w:pPr>
              <w:jc w:val="right"/>
              <w:ind w:right="170"/>
              <w:spacing w:after="0"/>
              <w:rPr>
                <w:sz w:val="20"/>
                <w:szCs w:val="20"/>
                <w:color w:val="auto"/>
              </w:rPr>
            </w:pPr>
            <w:r>
              <w:rPr>
                <w:rFonts w:ascii="Arial" w:cs="Arial" w:eastAsia="Arial" w:hAnsi="Arial"/>
                <w:sz w:val="18"/>
                <w:szCs w:val="18"/>
                <w:color w:val="auto"/>
                <w:w w:val="97"/>
              </w:rPr>
              <w:t>A reconciliation of the beginning and ending balances of gross unrecognized tax benefits is as follows: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3"/>
        </w:trPr>
        <w:tc>
          <w:tcPr>
            <w:tcW w:w="6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1"/>
                <w:szCs w:val="21"/>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Additions for tax positions of prior years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positions related to the current year</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11,623</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13,904</w:t>
            </w:r>
          </w:p>
        </w:tc>
      </w:tr>
      <w:tr>
        <w:trPr>
          <w:trHeight w:val="21"/>
        </w:trPr>
        <w:tc>
          <w:tcPr>
            <w:tcW w:w="6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recognized, all of the unrecognized tax benefits would not impact the effective tax rate due to the valuation allowance against certain deferred tax assets. As of December 31, 2021, the Company had $13.9 million unrecognized income tax benefits and there was an increase of $12.1 million to the Company’s unrecognized tax benefits during the year. The Company does not anticipate any significant increases or decreases to unrecognized tax benefits during the next twelve months. The Company’s policy is to classify interest and penalties associated with unrecognized tax benefits as income tax expense. The Company had no interest or penalty accruals associated with uncertain tax benefits in its consolidated balance sheet and consolidated statement of operations and comprehensive income (loss) for the tax year ended December 31, 2021.</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files income tax returns in the U.S. federal jurisdiction and various state jurisdictions and has identified its Federal, California, New York, Pennsylvania, New Jersey, and Illinois tax returns as significant tax filings. The Company is not currently under examination by income tax authorities in federal or state jurisdictions. However, because the Company has net operating losses and credits carried forward in several jurisdictions, including the United States Federal, California, Pennsylvania, New York, and Illinois jurisdictions, certain items attributable to closed tax years are still subject to adjustment by applicable taxing authorities through an adjustment to tax attributes carried forward to open years. All tax returns will remain open for examination by the federal and most state taxing authorities for three years and four years, respectively, from the date of utilization of any net operating loss carryforwards or research and development credit carryforwards.</w:t>
      </w:r>
    </w:p>
    <w:p>
      <w:pPr>
        <w:spacing w:after="0" w:line="200"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Since the Company’s inception, it has engaged in various immaterial transactions with its executive officers and directors, holders of more than 10% of its voting securities, and their affiliates. During the years ended December 31, 2019 and 2020, a related party investor and its affiliates participated in consolidated securitization transactions sponsored and serviced by the Company by receiving cash distributions on previously purchased securitization notes or residual certificates. As of December 31, 2020 and 2021, there were no consolidated securitizations on the consolidated balance sheets.</w:t>
      </w:r>
    </w:p>
    <w:p>
      <w:pPr>
        <w:spacing w:after="0" w:line="396"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 Attributable to Upstart Holdings, Inc. Common Stockholders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net income (loss) per common share attributable to Upstart Holdings, Inc.’s common stockholders is based on the weighted-average common shares outstanding during the relevant year. Diluted net income (loss) per common share attributable to Upstart Holdings, Inc.’s common stockholders is based on the weighted-average common shares outstanding during the relevant year adjusted for the dilutive effect of share-based awards and convertible debt.</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years in which the Company reports net losses, basic and diluted net loss per share attributable to Upstart Holdings, Inc.’s common stockholders are the same because potentially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4" w:name="page155"/>
    <w:bookmarkEnd w:id="1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income (loss) attributable to Upstart Holdings, Inc. common stockholders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135,443</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Less: noncumulative dividends to preferred stockholders</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 basic</w:t>
            </w: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135,443</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Add: adjustments to undistributed earnings to participating securities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 diluted</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135,443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Weighted-average common shares outstanding used to calculate net income (loss)</w:t>
            </w: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14,335,611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17,513,670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78,106,359</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attributable to Upstart Holdings, Inc. common stockholders, basic</w:t>
            </w:r>
          </w:p>
        </w:tc>
        <w:tc>
          <w:tcPr>
            <w:tcW w:w="3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Weighted-average effect of dilutive securities</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16,666,282</w:t>
            </w:r>
          </w:p>
        </w:tc>
        <w:tc>
          <w:tcPr>
            <w:tcW w:w="0" w:type="dxa"/>
            <w:vAlign w:val="bottom"/>
          </w:tcPr>
          <w:p>
            <w:pPr>
              <w:spacing w:after="0"/>
              <w:rPr>
                <w:sz w:val="1"/>
                <w:szCs w:val="1"/>
                <w:color w:val="auto"/>
              </w:rPr>
            </w:pPr>
          </w:p>
        </w:tc>
      </w:tr>
      <w:tr>
        <w:trPr>
          <w:trHeight w:val="156"/>
        </w:trPr>
        <w:tc>
          <w:tcPr>
            <w:tcW w:w="61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Weighted-average common shares outstanding used to calculate net income (loss)</w:t>
            </w:r>
          </w:p>
        </w:tc>
        <w:tc>
          <w:tcPr>
            <w:tcW w:w="3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14,335,611</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17,513,670</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94,772,641</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w w:val="99"/>
              </w:rPr>
              <w:t>per share attributable to Upstart Holdings, Inc. common stockholders, diluted</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per share attributable to Upstart Holdings, Inc. common</w:t>
            </w: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basic</w:t>
            </w:r>
          </w:p>
        </w:tc>
        <w:tc>
          <w:tcPr>
            <w:tcW w:w="38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10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per share attributable to Upstart Holdings, Inc. common</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stockholders, diluted</w:t>
            </w:r>
          </w:p>
        </w:tc>
        <w:tc>
          <w:tcPr>
            <w:tcW w:w="3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following securities were excluded from the computation of diluted net income (loss) per share attributable to Upstart Holdings, Inc. common stockholders for the years presented, because including them would have been anti-dilutive. These amounts represent the number of instruments outstanding at the end of each respective year: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3860" w:type="dxa"/>
            <w:vAlign w:val="bottom"/>
            <w:tcBorders>
              <w:bottom w:val="single" w:sz="8" w:color="auto"/>
            </w:tcBorders>
            <w:gridSpan w:val="5"/>
          </w:tcPr>
          <w:p>
            <w:pPr>
              <w:ind w:left="158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47,349,577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660" w:type="dxa"/>
            <w:vAlign w:val="bottom"/>
          </w:tcPr>
          <w:p>
            <w:pPr>
              <w:jc w:val="right"/>
              <w:spacing w:after="0"/>
              <w:rPr>
                <w:sz w:val="20"/>
                <w:szCs w:val="20"/>
                <w:color w:val="auto"/>
              </w:rPr>
            </w:pPr>
            <w:r>
              <w:rPr>
                <w:rFonts w:ascii="Arial" w:cs="Arial" w:eastAsia="Arial" w:hAnsi="Arial"/>
                <w:sz w:val="18"/>
                <w:szCs w:val="18"/>
                <w:color w:val="auto"/>
              </w:rPr>
              <w:t>16,502,206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19,600,223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461,157</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506,302</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Purchase rights committed under the ESPP</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convertible preferred stock</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600,208</w:t>
            </w:r>
          </w:p>
        </w:tc>
        <w:tc>
          <w:tcPr>
            <w:tcW w:w="10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Convertible debt</w:t>
            </w:r>
          </w:p>
        </w:tc>
        <w:tc>
          <w:tcPr>
            <w:tcW w:w="1660" w:type="dxa"/>
            <w:vAlign w:val="bottom"/>
          </w:tcPr>
          <w:p>
            <w:pPr>
              <w:jc w:val="right"/>
              <w:spacing w:after="0"/>
              <w:rPr>
                <w:sz w:val="20"/>
                <w:szCs w:val="20"/>
                <w:color w:val="auto"/>
              </w:rPr>
            </w:pPr>
            <w:r>
              <w:rPr>
                <w:rFonts w:ascii="Arial" w:cs="Arial" w:eastAsia="Arial" w:hAnsi="Arial"/>
                <w:sz w:val="18"/>
                <w:szCs w:val="18"/>
                <w:color w:val="auto"/>
              </w:rPr>
              <w:t>319,669</w:t>
            </w:r>
          </w:p>
        </w:tc>
        <w:tc>
          <w:tcPr>
            <w:tcW w:w="100" w:type="dxa"/>
            <w:vAlign w:val="bottom"/>
          </w:tcPr>
          <w:p>
            <w:pPr>
              <w:spacing w:after="0"/>
              <w:rPr>
                <w:sz w:val="19"/>
                <w:szCs w:val="19"/>
                <w:color w:val="auto"/>
              </w:rPr>
            </w:pPr>
          </w:p>
        </w:tc>
        <w:tc>
          <w:tcPr>
            <w:tcW w:w="21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2,318,078</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 purchase common stock</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Pr>
          <w:p>
            <w:pPr>
              <w:ind w:left="14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64,771,660</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19,675,223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3,285,537</w:t>
            </w:r>
          </w:p>
        </w:tc>
      </w:tr>
      <w:tr>
        <w:trPr>
          <w:trHeight w:val="20"/>
        </w:trPr>
        <w:tc>
          <w:tcPr>
            <w:tcW w:w="6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evaluated the impact of events that have occurred subsequent to December 31, 2021, through the date the consolidated financial statements were filed with the SEC. Based on the evaluation, other than any items recorded or disclosed within the consolidated financial statements and related notes, including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5" w:name="page156"/>
    <w:bookmarkEnd w:id="1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Upstart Holdings,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discussed below, the Company has determined no additional subsequent events were required to be recognized or disclosed.</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15, 2022, the Company issued a press release announcing that its board of directors approved a share repurchase program with authorization to purchase up to $400 million of its outstanding common shares. The Company may repurchase shares from time to time through open market purchases, in privately negotiated transactions or by other means, including through the use of trading plans intended to qualify under Rule 10b5-1 under the Securities Exchange Act of 1934, as amended. The actual timing and amount of future repurchases are subject to business and market conditions, corporate and regulatory requirements, stock price, acquisition opportunities and other factors. The share repurchase program does not obligate the Company to acquire any particular amount of common stock, and the program may be suspended or terminated at any time by the Company at any time at its discretion without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6" w:name="page157"/>
    <w:bookmarkEnd w:id="1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with the participation and supervision of our Chief Executive Officer and Chief Financial Officer, has evaluated the effectiveness of our disclosure controls and procedures as defined in Rules 13a-15(e) and 15d-15(e) under the Securities Exchange Act of 1934, as amended, or the Exchange Act. Based on that evaluation, our Chief Executive Officer and Chief Financial Officer have concluded that, as of December 31, 2021,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quarter ended December 31, 2021 that has materially affected, or is reasonably likely to materially affect, our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Our management, including our Chief Executive Officer and Chief Financial Officer, conducted an evaluation of the effectiveness of our internal control over financial reporting based 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its evaluation under the framework in Internal Control - Integrated Framework, our management concluded that our internal control over financial reporting was effective as of December 31, 2021.</w:t>
      </w:r>
    </w:p>
    <w:p>
      <w:pPr>
        <w:spacing w:after="0" w:line="21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2021 has been audited by Deloitte &amp; Touche LLP, an independent registered public accounting firm, as stated in their report which appears in Part II, Item 8 of this Annual Report on Form 10-K.</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Effectiveness of Controls and Procedures</w:t>
      </w:r>
    </w:p>
    <w:p>
      <w:pPr>
        <w:spacing w:after="0" w:line="2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7" w:name="page158"/>
    <w:bookmarkEnd w:id="1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9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Upstart Holdings,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Internal Control over Financial Reporting</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audited the internal control over financial reporting of Upstart Holdings, Inc. and subsidiaries (the “Company”) as of December 31, 2021,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2021, based on criteria established in Internal Control — Integrated Framework (2013) issued by COSO.</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17, 2022, expressed an unqualified opinion on those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8" w:name="page159"/>
    <w:bookmarkEnd w:id="1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controls may become inadequate because of changes in conditions, or that the degree of compliance with the policies or procedures may deteriorate.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February 17, 2022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a Code of Ethics that incorporates our code of ethics applicable to all employees, including all directors and executive officers. Our Code of Ethics is published on our Investor Relations website at ir.upstart.com under “Governance.” We intend to satisfy the disclosure requirement under Item 5.05 of Form 8-K regarding amendments to, or waiver from, a provision of the Company’s Code of Ethics by posting such information on the website address and location specified above.</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2022 Annual Meeting of Stockholders, which will be filed with the SEC no later than 120 days after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remaining information required by this item will be set forth in our Proxy Statement and is incorporated herein by reference. The Proxy Statement will be filed with the SEC no later than 120 days after December 31, 2021.</w:t>
      </w:r>
    </w:p>
    <w:p>
      <w:pPr>
        <w:spacing w:after="0" w:line="162" w:lineRule="exact"/>
        <w:rPr>
          <w:sz w:val="20"/>
          <w:szCs w:val="20"/>
          <w:color w:val="auto"/>
        </w:rPr>
      </w:pPr>
    </w:p>
    <w:p>
      <w:pPr>
        <w:ind w:right="1080"/>
        <w:spacing w:after="0" w:line="26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7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no later than 120 days after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 The Proxy Statement will be filed with the SEC no later than 120 days after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9" w:name="page160"/>
    <w:bookmarkEnd w:id="1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Our principal accountant is Deloitte &amp; Touche, LLP (PCAOB ID No. 34). The information required by this item will be set forth in our Proxy Statement and is incorporated herein by reference. The Proxy Statement will be filed with the SEC no later than 120 days after December 31, 2021.</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216" w:lineRule="exact"/>
        <w:rPr>
          <w:sz w:val="20"/>
          <w:szCs w:val="20"/>
          <w:color w:val="auto"/>
        </w:rPr>
      </w:pPr>
    </w:p>
    <w:p>
      <w:pPr>
        <w:jc w:val="center"/>
        <w:ind w:right="5240"/>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filed the following documents as part of this Form 10-K:</w:t>
      </w:r>
    </w:p>
    <w:p>
      <w:pPr>
        <w:spacing w:after="0" w:line="244" w:lineRule="exact"/>
        <w:rPr>
          <w:sz w:val="20"/>
          <w:szCs w:val="20"/>
          <w:color w:val="auto"/>
        </w:rPr>
      </w:pPr>
    </w:p>
    <w:p>
      <w:pPr>
        <w:ind w:left="200" w:hanging="192"/>
        <w:spacing w:after="0"/>
        <w:tabs>
          <w:tab w:leader="none" w:pos="20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Consolidated Financial Statements</w:t>
      </w:r>
    </w:p>
    <w:p>
      <w:pPr>
        <w:spacing w:after="0" w:line="242" w:lineRule="exact"/>
        <w:rPr>
          <w:rFonts w:ascii="Arial" w:cs="Arial" w:eastAsia="Arial" w:hAnsi="Arial"/>
          <w:sz w:val="20"/>
          <w:szCs w:val="20"/>
          <w:b w:val="1"/>
          <w:bCs w:val="1"/>
          <w:color w:val="auto"/>
        </w:rPr>
      </w:pPr>
    </w:p>
    <w:p>
      <w:pPr>
        <w:ind w:left="200" w:hanging="192"/>
        <w:spacing w:after="0"/>
        <w:tabs>
          <w:tab w:leader="none" w:pos="20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 Schedules</w:t>
      </w:r>
    </w:p>
    <w:p>
      <w:pPr>
        <w:spacing w:after="0" w:line="251"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Financial statement schedules have been omitted because they are not required, not applicable, not present in amounts sufficient to require submission of the schedule, or the required information is shown in the Consolidated Financial Statements or Notes thereto.</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190"/>
        </w:trPr>
        <w:tc>
          <w:tcPr>
            <w:tcW w:w="8720" w:type="dxa"/>
            <w:vAlign w:val="bottom"/>
            <w:gridSpan w:val="7"/>
          </w:tcPr>
          <w:p>
            <w:pPr>
              <w:spacing w:after="0" w:line="190" w:lineRule="exact"/>
              <w:rPr>
                <w:rFonts w:ascii="Arial" w:cs="Arial" w:eastAsia="Arial" w:hAnsi="Arial"/>
                <w:sz w:val="18"/>
                <w:szCs w:val="18"/>
                <w:color w:val="0000FF"/>
              </w:rPr>
            </w:pPr>
            <w:hyperlink w:anchor="page104">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34)</w:t>
            </w:r>
          </w:p>
        </w:tc>
        <w:tc>
          <w:tcPr>
            <w:tcW w:w="2480" w:type="dxa"/>
            <w:vAlign w:val="bottom"/>
          </w:tcPr>
          <w:p>
            <w:pPr>
              <w:jc w:val="right"/>
              <w:spacing w:after="0" w:line="190" w:lineRule="exact"/>
              <w:rPr>
                <w:rFonts w:ascii="Arial" w:cs="Arial" w:eastAsia="Arial" w:hAnsi="Arial"/>
                <w:sz w:val="18"/>
                <w:szCs w:val="18"/>
                <w:color w:val="auto"/>
              </w:rPr>
            </w:pPr>
            <w:hyperlink w:anchor="page104">
              <w:r>
                <w:rPr>
                  <w:rFonts w:ascii="Arial" w:cs="Arial" w:eastAsia="Arial" w:hAnsi="Arial"/>
                  <w:sz w:val="18"/>
                  <w:szCs w:val="18"/>
                  <w:color w:val="auto"/>
                </w:rPr>
                <w:t>105</w:t>
              </w:r>
            </w:hyperlink>
          </w:p>
        </w:tc>
      </w:tr>
      <w:tr>
        <w:trPr>
          <w:trHeight w:val="249"/>
        </w:trPr>
        <w:tc>
          <w:tcPr>
            <w:tcW w:w="42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Financial Statements:</w:t>
            </w:r>
          </w:p>
        </w:tc>
        <w:tc>
          <w:tcPr>
            <w:tcW w:w="4500" w:type="dxa"/>
            <w:vAlign w:val="bottom"/>
            <w:gridSpan w:val="3"/>
          </w:tcPr>
          <w:p>
            <w:pPr>
              <w:spacing w:after="0"/>
              <w:rPr>
                <w:sz w:val="21"/>
                <w:szCs w:val="21"/>
                <w:color w:val="auto"/>
              </w:rPr>
            </w:pPr>
          </w:p>
        </w:tc>
        <w:tc>
          <w:tcPr>
            <w:tcW w:w="2480" w:type="dxa"/>
            <w:vAlign w:val="bottom"/>
          </w:tcPr>
          <w:p>
            <w:pPr>
              <w:spacing w:after="0"/>
              <w:rPr>
                <w:sz w:val="21"/>
                <w:szCs w:val="21"/>
                <w:color w:val="auto"/>
              </w:rPr>
            </w:pPr>
          </w:p>
        </w:tc>
      </w:tr>
      <w:tr>
        <w:trPr>
          <w:trHeight w:val="190"/>
        </w:trPr>
        <w:tc>
          <w:tcPr>
            <w:tcW w:w="2100" w:type="dxa"/>
            <w:vAlign w:val="bottom"/>
            <w:tcBorders>
              <w:bottom w:val="single" w:sz="8" w:color="0000FF"/>
            </w:tcBorders>
          </w:tcPr>
          <w:p>
            <w:pPr>
              <w:spacing w:after="0" w:line="190" w:lineRule="exact"/>
              <w:rPr>
                <w:rFonts w:ascii="Arial" w:cs="Arial" w:eastAsia="Arial" w:hAnsi="Arial"/>
                <w:sz w:val="18"/>
                <w:szCs w:val="18"/>
                <w:color w:val="0000FF"/>
                <w:w w:val="88"/>
              </w:rPr>
            </w:pPr>
            <w:hyperlink w:anchor="page106">
              <w:r>
                <w:rPr>
                  <w:rFonts w:ascii="Arial" w:cs="Arial" w:eastAsia="Arial" w:hAnsi="Arial"/>
                  <w:sz w:val="18"/>
                  <w:szCs w:val="18"/>
                  <w:color w:val="0000FF"/>
                  <w:w w:val="88"/>
                </w:rPr>
                <w:t>Consolidated Balance Sheets</w:t>
              </w:r>
            </w:hyperlink>
          </w:p>
        </w:tc>
        <w:tc>
          <w:tcPr>
            <w:tcW w:w="6620" w:type="dxa"/>
            <w:vAlign w:val="bottom"/>
            <w:gridSpan w:val="6"/>
          </w:tcPr>
          <w:p>
            <w:pPr>
              <w:spacing w:after="0"/>
              <w:rPr>
                <w:sz w:val="16"/>
                <w:szCs w:val="16"/>
                <w:color w:val="auto"/>
              </w:rPr>
            </w:pPr>
          </w:p>
        </w:tc>
        <w:tc>
          <w:tcPr>
            <w:tcW w:w="2480" w:type="dxa"/>
            <w:vAlign w:val="bottom"/>
          </w:tcPr>
          <w:p>
            <w:pPr>
              <w:jc w:val="right"/>
              <w:spacing w:after="0" w:line="190" w:lineRule="exact"/>
              <w:rPr>
                <w:rFonts w:ascii="Arial" w:cs="Arial" w:eastAsia="Arial" w:hAnsi="Arial"/>
                <w:sz w:val="18"/>
                <w:szCs w:val="18"/>
                <w:color w:val="auto"/>
              </w:rPr>
            </w:pPr>
            <w:hyperlink w:anchor="page106">
              <w:r>
                <w:rPr>
                  <w:rFonts w:ascii="Arial" w:cs="Arial" w:eastAsia="Arial" w:hAnsi="Arial"/>
                  <w:sz w:val="18"/>
                  <w:szCs w:val="18"/>
                  <w:color w:val="auto"/>
                </w:rPr>
                <w:t>107</w:t>
              </w:r>
            </w:hyperlink>
          </w:p>
        </w:tc>
      </w:tr>
      <w:tr>
        <w:trPr>
          <w:trHeight w:val="209"/>
        </w:trPr>
        <w:tc>
          <w:tcPr>
            <w:tcW w:w="8720" w:type="dxa"/>
            <w:vAlign w:val="bottom"/>
            <w:gridSpan w:val="7"/>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Consolidated Statements of Operations and Comprehensive Income (Loss)</w:t>
              </w:r>
            </w:hyperlink>
          </w:p>
        </w:tc>
        <w:tc>
          <w:tcPr>
            <w:tcW w:w="248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109</w:t>
              </w:r>
            </w:hyperlink>
          </w:p>
        </w:tc>
      </w:tr>
      <w:tr>
        <w:trPr>
          <w:trHeight w:val="20"/>
        </w:trPr>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10"/>
        </w:trPr>
        <w:tc>
          <w:tcPr>
            <w:tcW w:w="8720" w:type="dxa"/>
            <w:vAlign w:val="bottom"/>
            <w:gridSpan w:val="7"/>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Consolidated Statements of Convertible Preferred Stock and Stockholders’ Equity (Deficit)</w:t>
              </w:r>
            </w:hyperlink>
          </w:p>
        </w:tc>
        <w:tc>
          <w:tcPr>
            <w:tcW w:w="248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109</w:t>
              </w:r>
            </w:hyperlink>
          </w:p>
        </w:tc>
      </w:tr>
      <w:tr>
        <w:trPr>
          <w:trHeight w:val="209"/>
        </w:trPr>
        <w:tc>
          <w:tcPr>
            <w:tcW w:w="28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111">
              <w:r>
                <w:rPr>
                  <w:rFonts w:ascii="Arial" w:cs="Arial" w:eastAsia="Arial" w:hAnsi="Arial"/>
                  <w:sz w:val="18"/>
                  <w:szCs w:val="18"/>
                  <w:color w:val="0000FF"/>
                  <w:w w:val="89"/>
                </w:rPr>
                <w:t>Consolidated Statements of Cash Flows</w:t>
              </w:r>
            </w:hyperlink>
          </w:p>
        </w:tc>
        <w:tc>
          <w:tcPr>
            <w:tcW w:w="3700" w:type="dxa"/>
            <w:vAlign w:val="bottom"/>
            <w:tcBorders>
              <w:top w:val="single" w:sz="8" w:color="0000FF"/>
            </w:tcBorders>
            <w:gridSpan w:val="4"/>
          </w:tcPr>
          <w:p>
            <w:pPr>
              <w:spacing w:after="0"/>
              <w:rPr>
                <w:sz w:val="18"/>
                <w:szCs w:val="18"/>
                <w:color w:val="auto"/>
              </w:rPr>
            </w:pPr>
          </w:p>
        </w:tc>
        <w:tc>
          <w:tcPr>
            <w:tcW w:w="2140" w:type="dxa"/>
            <w:vAlign w:val="bottom"/>
          </w:tcPr>
          <w:p>
            <w:pPr>
              <w:spacing w:after="0"/>
              <w:rPr>
                <w:sz w:val="18"/>
                <w:szCs w:val="18"/>
                <w:color w:val="auto"/>
              </w:rPr>
            </w:pPr>
          </w:p>
        </w:tc>
        <w:tc>
          <w:tcPr>
            <w:tcW w:w="248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112</w:t>
              </w:r>
            </w:hyperlink>
          </w:p>
        </w:tc>
      </w:tr>
      <w:tr>
        <w:trPr>
          <w:trHeight w:val="210"/>
        </w:trPr>
        <w:tc>
          <w:tcPr>
            <w:tcW w:w="31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13">
              <w:r>
                <w:rPr>
                  <w:rFonts w:ascii="Arial" w:cs="Arial" w:eastAsia="Arial" w:hAnsi="Arial"/>
                  <w:sz w:val="18"/>
                  <w:szCs w:val="18"/>
                  <w:color w:val="0000FF"/>
                  <w:w w:val="89"/>
                </w:rPr>
                <w:t>Notes to Consolidated Financial Statements</w:t>
              </w:r>
            </w:hyperlink>
          </w:p>
        </w:tc>
        <w:tc>
          <w:tcPr>
            <w:tcW w:w="5560" w:type="dxa"/>
            <w:vAlign w:val="bottom"/>
            <w:gridSpan w:val="4"/>
          </w:tcPr>
          <w:p>
            <w:pPr>
              <w:spacing w:after="0"/>
              <w:rPr>
                <w:sz w:val="18"/>
                <w:szCs w:val="18"/>
                <w:color w:val="auto"/>
              </w:rPr>
            </w:pPr>
          </w:p>
        </w:tc>
        <w:tc>
          <w:tcPr>
            <w:tcW w:w="248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114</w:t>
              </w:r>
            </w:hyperlink>
          </w:p>
        </w:tc>
      </w:tr>
    </w:tbl>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Exhibits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below are filed as part of this Annual Report on Form 10-K or are incorporated herein by reference, in each case as indicated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12529"/>
        </w:rPr>
        <w:t>EXHIBIT INDEX</w:t>
      </w:r>
    </w:p>
    <w:p>
      <w:pPr>
        <w:spacing w:after="0" w:line="306"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Incorporated by Reference</w:t>
      </w:r>
    </w:p>
    <w:p>
      <w:pPr>
        <w:sectPr>
          <w:pgSz w:w="11900" w:h="16838" w:orient="portrait"/>
          <w:cols w:equalWidth="0" w:num="1">
            <w:col w:w="11240"/>
          </w:cols>
          <w:pgMar w:left="320" w:top="179" w:right="339" w:bottom="1440" w:gutter="0" w:footer="0" w:header="0"/>
        </w:sectPr>
      </w:pPr>
    </w:p>
    <w:p>
      <w:pPr>
        <w:spacing w:after="0" w:line="36"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Exhibit</w:t>
      </w:r>
    </w:p>
    <w:p>
      <w:pPr>
        <w:ind w:left="2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2960" w:val="left"/>
          <w:tab w:leader="none" w:pos="4060" w:val="left"/>
          <w:tab w:leader="none" w:pos="5300" w:val="left"/>
          <w:tab w:leader="none" w:pos="6780" w:val="left"/>
        </w:tabs>
        <w:rPr>
          <w:sz w:val="20"/>
          <w:szCs w:val="20"/>
          <w:color w:val="auto"/>
        </w:rPr>
      </w:pP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Form</w:t>
      </w:r>
      <w:r>
        <w:rPr>
          <w:sz w:val="20"/>
          <w:szCs w:val="20"/>
          <w:color w:val="auto"/>
        </w:rPr>
        <w:tab/>
      </w:r>
      <w:r>
        <w:rPr>
          <w:rFonts w:ascii="Arial" w:cs="Arial" w:eastAsia="Arial" w:hAnsi="Arial"/>
          <w:sz w:val="18"/>
          <w:szCs w:val="18"/>
          <w:b w:val="1"/>
          <w:bCs w:val="1"/>
          <w:color w:val="auto"/>
        </w:rPr>
        <w:t>File No.</w:t>
      </w:r>
      <w:r>
        <w:rPr>
          <w:sz w:val="20"/>
          <w:szCs w:val="20"/>
          <w:color w:val="auto"/>
        </w:rPr>
        <w:tab/>
      </w: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17145</wp:posOffset>
            </wp:positionV>
            <wp:extent cx="7132320" cy="3003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-239395</wp:posOffset>
            </wp:positionV>
            <wp:extent cx="28886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2260" w:space="720"/>
            <w:col w:w="8260"/>
          </w:cols>
          <w:pgMar w:left="320" w:top="179"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3.1*</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ind w:right="160"/>
        <w:spacing w:after="0" w:line="258" w:lineRule="auto"/>
        <w:rPr>
          <w:rFonts w:ascii="Arial" w:cs="Arial" w:eastAsia="Arial" w:hAnsi="Arial"/>
          <w:sz w:val="18"/>
          <w:szCs w:val="18"/>
          <w:u w:val="single" w:color="auto"/>
          <w:color w:val="0000FF"/>
        </w:rPr>
      </w:pPr>
      <w:hyperlink w:anchor="page166">
        <w:r>
          <w:rPr>
            <w:rFonts w:ascii="Arial" w:cs="Arial" w:eastAsia="Arial" w:hAnsi="Arial"/>
            <w:sz w:val="18"/>
            <w:szCs w:val="18"/>
            <w:u w:val="single" w:color="auto"/>
            <w:color w:val="0000FF"/>
          </w:rPr>
          <w:t>Amended and Restated Certificate of Incorporation of the</w:t>
        </w:r>
      </w:hyperlink>
      <w:r>
        <w:rPr>
          <w:rFonts w:ascii="Arial" w:cs="Arial" w:eastAsia="Arial" w:hAnsi="Arial"/>
          <w:sz w:val="18"/>
          <w:szCs w:val="18"/>
          <w:u w:val="single" w:color="auto"/>
          <w:color w:val="0000FF"/>
        </w:rPr>
        <w:t xml:space="preserve"> </w:t>
      </w:r>
      <w:hyperlink w:anchor="page166">
        <w:r>
          <w:rPr>
            <w:rFonts w:ascii="Arial" w:cs="Arial" w:eastAsia="Arial" w:hAnsi="Arial"/>
            <w:sz w:val="18"/>
            <w:szCs w:val="18"/>
            <w:u w:val="single" w:color="auto"/>
            <w:color w:val="0000FF"/>
          </w:rPr>
          <w:t>registrant.</w:t>
        </w:r>
      </w:hyperlink>
    </w:p>
    <w:p>
      <w:pPr>
        <w:spacing w:after="0"/>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Amended and Restated Bylaws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132320"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 w:lineRule="exact"/>
        <w:rPr>
          <w:sz w:val="20"/>
          <w:szCs w:val="20"/>
          <w:color w:val="auto"/>
        </w:rPr>
      </w:pPr>
    </w:p>
    <w:p>
      <w:pPr>
        <w:spacing w:after="0"/>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Form of common stock certificate of the registrant.</w:t>
        </w:r>
      </w:hyperlink>
    </w:p>
    <w:p>
      <w:pPr>
        <w:spacing w:after="0" w:line="50" w:lineRule="exact"/>
        <w:rPr>
          <w:sz w:val="20"/>
          <w:szCs w:val="20"/>
          <w:color w:val="auto"/>
        </w:rPr>
      </w:pPr>
    </w:p>
    <w:p>
      <w:pPr>
        <w:spacing w:after="0" w:line="248" w:lineRule="auto"/>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Amended and Restated Investors’ Rights Agreement among</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the registrant and certain holders of its capital stock,</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amended as of December 31, 2018.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333-249860</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1760" w:type="dxa"/>
            <w:vAlign w:val="bottom"/>
          </w:tcPr>
          <w:p>
            <w:pPr>
              <w:ind w:left="420"/>
              <w:spacing w:after="0"/>
              <w:rPr>
                <w:sz w:val="20"/>
                <w:szCs w:val="20"/>
                <w:color w:val="auto"/>
              </w:rPr>
            </w:pPr>
            <w:r>
              <w:rPr>
                <w:rFonts w:ascii="Arial" w:cs="Arial" w:eastAsia="Arial" w:hAnsi="Arial"/>
                <w:sz w:val="18"/>
                <w:szCs w:val="18"/>
                <w:color w:val="auto"/>
                <w:w w:val="89"/>
              </w:rPr>
              <w:t>December 4, 2020</w:t>
            </w:r>
          </w:p>
        </w:tc>
      </w:tr>
      <w:tr>
        <w:trPr>
          <w:trHeight w:val="244"/>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333-249860</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1760" w:type="dxa"/>
            <w:vAlign w:val="bottom"/>
          </w:tcPr>
          <w:p>
            <w:pPr>
              <w:ind w:left="420"/>
              <w:spacing w:after="0"/>
              <w:rPr>
                <w:sz w:val="20"/>
                <w:szCs w:val="20"/>
                <w:color w:val="auto"/>
              </w:rPr>
            </w:pPr>
            <w:r>
              <w:rPr>
                <w:rFonts w:ascii="Arial" w:cs="Arial" w:eastAsia="Arial" w:hAnsi="Arial"/>
                <w:sz w:val="18"/>
                <w:szCs w:val="18"/>
                <w:color w:val="auto"/>
                <w:w w:val="89"/>
              </w:rPr>
              <w:t>December 4, 2020</w:t>
            </w:r>
          </w:p>
        </w:tc>
      </w:tr>
      <w:tr>
        <w:trPr>
          <w:trHeight w:val="243"/>
        </w:trPr>
        <w:tc>
          <w:tcPr>
            <w:tcW w:w="700" w:type="dxa"/>
            <w:vAlign w:val="bottom"/>
          </w:tcPr>
          <w:p>
            <w:pPr>
              <w:jc w:val="center"/>
              <w:ind w:right="190"/>
              <w:spacing w:after="0"/>
              <w:rPr>
                <w:sz w:val="20"/>
                <w:szCs w:val="20"/>
                <w:color w:val="auto"/>
              </w:rPr>
            </w:pPr>
            <w:r>
              <w:rPr>
                <w:rFonts w:ascii="Arial" w:cs="Arial" w:eastAsia="Arial" w:hAnsi="Arial"/>
                <w:sz w:val="18"/>
                <w:szCs w:val="18"/>
                <w:color w:val="auto"/>
                <w:w w:val="92"/>
              </w:rPr>
              <w:t>S-1</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333-249860</w:t>
            </w: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4.2</w:t>
            </w:r>
          </w:p>
        </w:tc>
        <w:tc>
          <w:tcPr>
            <w:tcW w:w="1760" w:type="dxa"/>
            <w:vAlign w:val="bottom"/>
          </w:tcPr>
          <w:p>
            <w:pPr>
              <w:ind w:left="400"/>
              <w:spacing w:after="0"/>
              <w:rPr>
                <w:sz w:val="20"/>
                <w:szCs w:val="20"/>
                <w:color w:val="auto"/>
              </w:rPr>
            </w:pPr>
            <w:r>
              <w:rPr>
                <w:rFonts w:ascii="Arial" w:cs="Arial" w:eastAsia="Arial" w:hAnsi="Arial"/>
                <w:sz w:val="18"/>
                <w:szCs w:val="18"/>
                <w:color w:val="auto"/>
                <w:w w:val="90"/>
              </w:rPr>
              <w:t>November 6, 2020</w:t>
            </w:r>
          </w:p>
        </w:tc>
      </w:tr>
    </w:tbl>
    <w:p>
      <w:pPr>
        <w:spacing w:after="0" w:line="427" w:lineRule="exact"/>
        <w:rPr>
          <w:rFonts w:ascii="Arial" w:cs="Arial" w:eastAsia="Arial" w:hAnsi="Arial"/>
          <w:sz w:val="18"/>
          <w:szCs w:val="18"/>
          <w:u w:val="single" w:color="auto"/>
          <w:color w:val="0000FF"/>
        </w:rPr>
      </w:pPr>
    </w:p>
    <w:p>
      <w:pPr>
        <w:sectPr>
          <w:pgSz w:w="11900" w:h="16838" w:orient="portrait"/>
          <w:cols w:equalWidth="0" w:num="3">
            <w:col w:w="480" w:space="720"/>
            <w:col w:w="4320" w:space="440"/>
            <w:col w:w="5280"/>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4.3*</w:t>
            </w:r>
          </w:p>
        </w:tc>
        <w:tc>
          <w:tcPr>
            <w:tcW w:w="2100" w:type="dxa"/>
            <w:vAlign w:val="bottom"/>
            <w:tcBorders>
              <w:bottom w:val="single" w:sz="8" w:color="0000FF"/>
            </w:tcBorders>
            <w:shd w:val="clear" w:color="auto" w:fill="CCEEFF"/>
          </w:tcPr>
          <w:p>
            <w:pPr>
              <w:spacing w:after="0"/>
              <w:rPr>
                <w:rFonts w:ascii="Arial" w:cs="Arial" w:eastAsia="Arial" w:hAnsi="Arial"/>
                <w:sz w:val="18"/>
                <w:szCs w:val="18"/>
                <w:color w:val="0000FF"/>
                <w:w w:val="91"/>
              </w:rPr>
            </w:pPr>
            <w:hyperlink w:anchor="page171">
              <w:r>
                <w:rPr>
                  <w:rFonts w:ascii="Arial" w:cs="Arial" w:eastAsia="Arial" w:hAnsi="Arial"/>
                  <w:sz w:val="18"/>
                  <w:szCs w:val="18"/>
                  <w:color w:val="0000FF"/>
                  <w:w w:val="91"/>
                </w:rPr>
                <w:t>Description of Capital Stock.</w:t>
              </w:r>
            </w:hyperlink>
          </w:p>
        </w:tc>
        <w:tc>
          <w:tcPr>
            <w:tcW w:w="2520" w:type="dxa"/>
            <w:vAlign w:val="bottom"/>
            <w:tcBorders>
              <w:bottom w:val="single" w:sz="8" w:color="CCEEFF"/>
            </w:tcBorders>
            <w:gridSpan w:val="3"/>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203"/>
        </w:trPr>
        <w:tc>
          <w:tcPr>
            <w:tcW w:w="1200" w:type="dxa"/>
            <w:vAlign w:val="bottom"/>
          </w:tcPr>
          <w:p>
            <w:pPr>
              <w:ind w:left="20"/>
              <w:spacing w:after="0" w:line="202" w:lineRule="exact"/>
              <w:rPr>
                <w:sz w:val="20"/>
                <w:szCs w:val="20"/>
                <w:color w:val="auto"/>
              </w:rPr>
            </w:pPr>
            <w:r>
              <w:rPr>
                <w:rFonts w:ascii="Arial" w:cs="Arial" w:eastAsia="Arial" w:hAnsi="Arial"/>
                <w:sz w:val="18"/>
                <w:szCs w:val="18"/>
                <w:color w:val="auto"/>
              </w:rPr>
              <w:t>4.4</w:t>
            </w:r>
          </w:p>
        </w:tc>
        <w:tc>
          <w:tcPr>
            <w:tcW w:w="4620" w:type="dxa"/>
            <w:vAlign w:val="bottom"/>
            <w:gridSpan w:val="4"/>
          </w:tcPr>
          <w:p>
            <w:pPr>
              <w:spacing w:after="0" w:line="202" w:lineRule="exact"/>
              <w:rPr>
                <w:rFonts w:ascii="Arial" w:cs="Arial" w:eastAsia="Arial" w:hAnsi="Arial"/>
                <w:sz w:val="18"/>
                <w:szCs w:val="18"/>
                <w:color w:val="0000FF"/>
                <w:w w:val="94"/>
              </w:rPr>
            </w:pPr>
            <w:hyperlink r:id="rId174">
              <w:r>
                <w:rPr>
                  <w:rFonts w:ascii="Arial" w:cs="Arial" w:eastAsia="Arial" w:hAnsi="Arial"/>
                  <w:sz w:val="18"/>
                  <w:szCs w:val="18"/>
                  <w:color w:val="0000FF"/>
                  <w:w w:val="94"/>
                </w:rPr>
                <w:t>Indenture, dated August 20, 2021, between Upstart Holdings,</w:t>
              </w:r>
            </w:hyperlink>
          </w:p>
        </w:tc>
        <w:tc>
          <w:tcPr>
            <w:tcW w:w="820" w:type="dxa"/>
            <w:vAlign w:val="bottom"/>
          </w:tcPr>
          <w:p>
            <w:pPr>
              <w:ind w:left="220"/>
              <w:spacing w:after="0" w:line="202" w:lineRule="exact"/>
              <w:rPr>
                <w:sz w:val="20"/>
                <w:szCs w:val="20"/>
                <w:color w:val="auto"/>
              </w:rPr>
            </w:pPr>
            <w:r>
              <w:rPr>
                <w:rFonts w:ascii="Arial" w:cs="Arial" w:eastAsia="Arial" w:hAnsi="Arial"/>
                <w:sz w:val="18"/>
                <w:szCs w:val="18"/>
                <w:color w:val="auto"/>
              </w:rPr>
              <w:t>8-K</w:t>
            </w:r>
          </w:p>
        </w:tc>
        <w:tc>
          <w:tcPr>
            <w:tcW w:w="14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001-39797</w:t>
            </w:r>
          </w:p>
        </w:tc>
        <w:tc>
          <w:tcPr>
            <w:tcW w:w="104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4.1</w:t>
            </w:r>
          </w:p>
        </w:tc>
        <w:tc>
          <w:tcPr>
            <w:tcW w:w="2080" w:type="dxa"/>
            <w:vAlign w:val="bottom"/>
          </w:tcPr>
          <w:p>
            <w:pPr>
              <w:ind w:left="440"/>
              <w:spacing w:after="0" w:line="202" w:lineRule="exact"/>
              <w:rPr>
                <w:sz w:val="20"/>
                <w:szCs w:val="20"/>
                <w:color w:val="auto"/>
              </w:rPr>
            </w:pPr>
            <w:r>
              <w:rPr>
                <w:rFonts w:ascii="Arial" w:cs="Arial" w:eastAsia="Arial" w:hAnsi="Arial"/>
                <w:sz w:val="18"/>
                <w:szCs w:val="18"/>
                <w:color w:val="auto"/>
              </w:rPr>
              <w:t>August 20, 2021</w:t>
            </w:r>
          </w:p>
        </w:tc>
      </w:tr>
      <w:tr>
        <w:trPr>
          <w:trHeight w:val="183"/>
        </w:trPr>
        <w:tc>
          <w:tcPr>
            <w:tcW w:w="1200" w:type="dxa"/>
            <w:vAlign w:val="bottom"/>
          </w:tcPr>
          <w:p>
            <w:pPr>
              <w:spacing w:after="0"/>
              <w:rPr>
                <w:sz w:val="15"/>
                <w:szCs w:val="15"/>
                <w:color w:val="auto"/>
              </w:rPr>
            </w:pPr>
          </w:p>
        </w:tc>
        <w:tc>
          <w:tcPr>
            <w:tcW w:w="298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Inc. and U.S. Bank National Association.</w:t>
              </w:r>
            </w:hyperlink>
          </w:p>
        </w:tc>
        <w:tc>
          <w:tcPr>
            <w:tcW w:w="144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8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60" w:name="page161"/>
    <w:bookmarkEnd w:id="160"/>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80" w:type="dxa"/>
            <w:vAlign w:val="bottom"/>
            <w:gridSpan w:val="28"/>
            <w:vMerge w:val="restart"/>
          </w:tcPr>
          <w:p>
            <w:pPr>
              <w:ind w:left="3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9"/>
        </w:trPr>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80" w:type="dxa"/>
            <w:vAlign w:val="bottom"/>
            <w:gridSpan w:val="2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460" w:type="dxa"/>
            <w:vAlign w:val="bottom"/>
            <w:tcBorders>
              <w:top w:val="single" w:sz="8" w:color="auto"/>
            </w:tcBorders>
            <w:gridSpan w:val="32"/>
          </w:tcPr>
          <w:p>
            <w:pPr>
              <w:spacing w:after="0" w:line="196" w:lineRule="exact"/>
              <w:rPr>
                <w:rFonts w:ascii="Arial" w:cs="Arial" w:eastAsia="Arial" w:hAnsi="Arial"/>
                <w:sz w:val="18"/>
                <w:szCs w:val="18"/>
                <w:color w:val="0000FF"/>
                <w:w w:val="94"/>
              </w:rPr>
            </w:pPr>
            <w:hyperlink r:id="rId174">
              <w:r>
                <w:rPr>
                  <w:rFonts w:ascii="Arial" w:cs="Arial" w:eastAsia="Arial" w:hAnsi="Arial"/>
                  <w:sz w:val="18"/>
                  <w:szCs w:val="18"/>
                  <w:color w:val="0000FF"/>
                  <w:w w:val="94"/>
                </w:rPr>
                <w:t>Form of 0.25% Convertible Senior Note due 2026 (included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in the indenture filed as Exhibit 4.4).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2"/>
          </w:tcPr>
          <w:p>
            <w:pPr>
              <w:spacing w:after="0"/>
              <w:rPr>
                <w:rFonts w:ascii="Arial" w:cs="Arial" w:eastAsia="Arial" w:hAnsi="Arial"/>
                <w:sz w:val="18"/>
                <w:szCs w:val="18"/>
                <w:color w:val="0000FF"/>
                <w:w w:val="95"/>
              </w:rPr>
            </w:pPr>
            <w:hyperlink r:id="rId176">
              <w:r>
                <w:rPr>
                  <w:rFonts w:ascii="Arial" w:cs="Arial" w:eastAsia="Arial" w:hAnsi="Arial"/>
                  <w:sz w:val="18"/>
                  <w:szCs w:val="18"/>
                  <w:color w:val="0000FF"/>
                  <w:w w:val="95"/>
                </w:rPr>
                <w:t>Form of Indemnification Agreement between the registrant</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0"/>
              </w:rPr>
            </w:pPr>
            <w:hyperlink r:id="rId176">
              <w:r>
                <w:rPr>
                  <w:rFonts w:ascii="Arial" w:cs="Arial" w:eastAsia="Arial" w:hAnsi="Arial"/>
                  <w:sz w:val="18"/>
                  <w:szCs w:val="18"/>
                  <w:color w:val="0000FF"/>
                  <w:w w:val="90"/>
                </w:rPr>
                <w:t>and each of its directors and executive officers.</w:t>
              </w:r>
            </w:hyperlink>
          </w:p>
        </w:tc>
        <w:tc>
          <w:tcPr>
            <w:tcW w:w="880" w:type="dxa"/>
            <w:vAlign w:val="bottom"/>
            <w:tcBorders>
              <w:top w:val="single" w:sz="8" w:color="0000FF"/>
            </w:tcBorders>
            <w:gridSpan w:val="19"/>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2"/>
          </w:tcPr>
          <w:p>
            <w:pPr>
              <w:spacing w:after="0"/>
              <w:rPr>
                <w:rFonts w:ascii="Arial" w:cs="Arial" w:eastAsia="Arial" w:hAnsi="Arial"/>
                <w:sz w:val="18"/>
                <w:szCs w:val="18"/>
                <w:color w:val="0000FF"/>
              </w:rPr>
            </w:pPr>
            <w:hyperlink r:id="rId177">
              <w:r>
                <w:rPr>
                  <w:rFonts w:ascii="Arial" w:cs="Arial" w:eastAsia="Arial" w:hAnsi="Arial"/>
                  <w:sz w:val="18"/>
                  <w:szCs w:val="18"/>
                  <w:color w:val="0000FF"/>
                </w:rPr>
                <w:t>Upstart Holdings, Inc. 2020 Equity Incentive Plan and</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177">
              <w:r>
                <w:rPr>
                  <w:rFonts w:ascii="Arial" w:cs="Arial" w:eastAsia="Arial" w:hAnsi="Arial"/>
                  <w:sz w:val="18"/>
                  <w:szCs w:val="18"/>
                  <w:color w:val="0000FF"/>
                  <w:w w:val="88"/>
                </w:rPr>
                <w:t>related form agreements.</w:t>
              </w:r>
            </w:hyperlink>
          </w:p>
        </w:tc>
        <w:tc>
          <w:tcPr>
            <w:tcW w:w="21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gridSpan w:val="32"/>
          </w:tcPr>
          <w:p>
            <w:pPr>
              <w:spacing w:after="0"/>
              <w:rPr>
                <w:rFonts w:ascii="Arial" w:cs="Arial" w:eastAsia="Arial" w:hAnsi="Arial"/>
                <w:sz w:val="18"/>
                <w:szCs w:val="18"/>
                <w:color w:val="0000FF"/>
                <w:w w:val="99"/>
              </w:rPr>
            </w:pPr>
            <w:hyperlink r:id="rId178">
              <w:r>
                <w:rPr>
                  <w:rFonts w:ascii="Arial" w:cs="Arial" w:eastAsia="Arial" w:hAnsi="Arial"/>
                  <w:sz w:val="18"/>
                  <w:szCs w:val="18"/>
                  <w:color w:val="0000FF"/>
                  <w:w w:val="99"/>
                </w:rPr>
                <w:t>Upstart Holdings, Inc. 2012 Stock Plan and related form</w:t>
              </w:r>
            </w:hyperlink>
          </w:p>
        </w:tc>
        <w:tc>
          <w:tcPr>
            <w:tcW w:w="0" w:type="dxa"/>
            <w:vAlign w:val="bottom"/>
          </w:tcPr>
          <w:p>
            <w:pPr>
              <w:spacing w:after="0"/>
              <w:rPr>
                <w:sz w:val="1"/>
                <w:szCs w:val="1"/>
                <w:color w:val="auto"/>
              </w:rPr>
            </w:pPr>
          </w:p>
        </w:tc>
      </w:tr>
      <w:tr>
        <w:trPr>
          <w:trHeight w:val="155"/>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agreements.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2"/>
          </w:tcPr>
          <w:p>
            <w:pPr>
              <w:spacing w:after="0"/>
              <w:rPr>
                <w:rFonts w:ascii="Arial" w:cs="Arial" w:eastAsia="Arial" w:hAnsi="Arial"/>
                <w:sz w:val="18"/>
                <w:szCs w:val="18"/>
                <w:color w:val="0000FF"/>
                <w:w w:val="97"/>
              </w:rPr>
            </w:pPr>
            <w:hyperlink r:id="rId179">
              <w:r>
                <w:rPr>
                  <w:rFonts w:ascii="Arial" w:cs="Arial" w:eastAsia="Arial" w:hAnsi="Arial"/>
                  <w:sz w:val="18"/>
                  <w:szCs w:val="18"/>
                  <w:color w:val="0000FF"/>
                  <w:w w:val="97"/>
                </w:rPr>
                <w:t>Upstart Holdings, Inc. Employee Incentive Compensation</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79">
              <w:r>
                <w:rPr>
                  <w:rFonts w:ascii="Arial" w:cs="Arial" w:eastAsia="Arial" w:hAnsi="Arial"/>
                  <w:sz w:val="18"/>
                  <w:szCs w:val="18"/>
                  <w:color w:val="0000FF"/>
                </w:rPr>
                <w:t>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80" w:type="dxa"/>
            <w:vAlign w:val="bottom"/>
            <w:tcBorders>
              <w:bottom w:val="single" w:sz="8" w:color="0000FF"/>
            </w:tcBorders>
            <w:gridSpan w:val="31"/>
          </w:tcPr>
          <w:p>
            <w:pPr>
              <w:spacing w:after="0"/>
              <w:rPr>
                <w:rFonts w:ascii="Arial" w:cs="Arial" w:eastAsia="Arial" w:hAnsi="Arial"/>
                <w:sz w:val="18"/>
                <w:szCs w:val="18"/>
                <w:color w:val="0000FF"/>
                <w:w w:val="90"/>
              </w:rPr>
            </w:pPr>
            <w:hyperlink r:id="rId180">
              <w:r>
                <w:rPr>
                  <w:rFonts w:ascii="Arial" w:cs="Arial" w:eastAsia="Arial" w:hAnsi="Arial"/>
                  <w:sz w:val="18"/>
                  <w:szCs w:val="18"/>
                  <w:color w:val="0000FF"/>
                  <w:w w:val="90"/>
                </w:rPr>
                <w:t>Upstart Holdings, Inc. 2020 Employee Stock Purchase Plan.</w:t>
              </w:r>
            </w:hyperlink>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2"/>
          </w:tcPr>
          <w:p>
            <w:pPr>
              <w:spacing w:after="0"/>
              <w:rPr>
                <w:rFonts w:ascii="Arial" w:cs="Arial" w:eastAsia="Arial" w:hAnsi="Arial"/>
                <w:sz w:val="18"/>
                <w:szCs w:val="18"/>
                <w:color w:val="0000FF"/>
              </w:rPr>
            </w:pPr>
            <w:hyperlink r:id="rId181">
              <w:r>
                <w:rPr>
                  <w:rFonts w:ascii="Arial" w:cs="Arial" w:eastAsia="Arial" w:hAnsi="Arial"/>
                  <w:sz w:val="18"/>
                  <w:szCs w:val="18"/>
                  <w:color w:val="0000FF"/>
                </w:rPr>
                <w:t>Upstart Holdings, Inc. Executive Change in Control and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4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Severance Policy and related participation.</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2"/>
          </w:tcPr>
          <w:p>
            <w:pPr>
              <w:spacing w:after="0"/>
              <w:rPr>
                <w:rFonts w:ascii="Arial" w:cs="Arial" w:eastAsia="Arial" w:hAnsi="Arial"/>
                <w:sz w:val="18"/>
                <w:szCs w:val="18"/>
                <w:color w:val="0000FF"/>
              </w:rPr>
            </w:pPr>
            <w:hyperlink w:anchor="page178">
              <w:r>
                <w:rPr>
                  <w:rFonts w:ascii="Arial" w:cs="Arial" w:eastAsia="Arial" w:hAnsi="Arial"/>
                  <w:sz w:val="18"/>
                  <w:szCs w:val="18"/>
                  <w:color w:val="0000FF"/>
                </w:rPr>
                <w:t>Upstart Holdings, Inc. Outside Director Compensation</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0"/>
              </w:rPr>
            </w:pPr>
            <w:hyperlink w:anchor="page178">
              <w:r>
                <w:rPr>
                  <w:rFonts w:ascii="Arial" w:cs="Arial" w:eastAsia="Arial" w:hAnsi="Arial"/>
                  <w:sz w:val="18"/>
                  <w:szCs w:val="18"/>
                  <w:color w:val="0000FF"/>
                  <w:w w:val="90"/>
                </w:rPr>
                <w:t>Policy.</w:t>
              </w:r>
            </w:hyperlink>
          </w:p>
        </w:tc>
        <w:tc>
          <w:tcPr>
            <w:tcW w:w="3440" w:type="dxa"/>
            <w:vAlign w:val="bottom"/>
            <w:tcBorders>
              <w:top w:val="single" w:sz="8" w:color="0000FF"/>
            </w:tcBorders>
            <w:gridSpan w:val="1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2"/>
          </w:tcPr>
          <w:p>
            <w:pPr>
              <w:spacing w:after="0"/>
              <w:rPr>
                <w:rFonts w:ascii="Arial" w:cs="Arial" w:eastAsia="Arial" w:hAnsi="Arial"/>
                <w:sz w:val="18"/>
                <w:szCs w:val="18"/>
                <w:color w:val="0000FF"/>
                <w:w w:val="92"/>
              </w:rPr>
            </w:pPr>
            <w:hyperlink r:id="rId182">
              <w:r>
                <w:rPr>
                  <w:rFonts w:ascii="Arial" w:cs="Arial" w:eastAsia="Arial" w:hAnsi="Arial"/>
                  <w:sz w:val="18"/>
                  <w:szCs w:val="18"/>
                  <w:color w:val="0000FF"/>
                  <w:w w:val="92"/>
                </w:rPr>
                <w:t>Sub-Sublease Agreement, dated April 1, 2019, between Bay</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60" w:type="dxa"/>
            <w:vAlign w:val="bottom"/>
            <w:tcBorders>
              <w:top w:val="single" w:sz="8" w:color="0000FF"/>
            </w:tcBorders>
            <w:gridSpan w:val="30"/>
          </w:tcPr>
          <w:p>
            <w:pPr>
              <w:spacing w:after="0" w:line="182"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Meadows Station 3 Investors, LLC and Open Text Inc.,</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Snowflake, Inc. and Upstart Holdings, Inc.</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2"/>
          </w:tcPr>
          <w:p>
            <w:pPr>
              <w:spacing w:after="0"/>
              <w:rPr>
                <w:rFonts w:ascii="Arial" w:cs="Arial" w:eastAsia="Arial" w:hAnsi="Arial"/>
                <w:sz w:val="18"/>
                <w:szCs w:val="18"/>
                <w:color w:val="0000FF"/>
                <w:w w:val="98"/>
              </w:rPr>
            </w:pPr>
            <w:hyperlink r:id="rId183">
              <w:r>
                <w:rPr>
                  <w:rFonts w:ascii="Arial" w:cs="Arial" w:eastAsia="Arial" w:hAnsi="Arial"/>
                  <w:sz w:val="18"/>
                  <w:szCs w:val="18"/>
                  <w:color w:val="0000FF"/>
                  <w:w w:val="98"/>
                </w:rPr>
                <w:t>Amendment Sublease dated September 13, 2021, to the</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86"/>
              </w:rPr>
            </w:pPr>
            <w:hyperlink r:id="rId183">
              <w:r>
                <w:rPr>
                  <w:rFonts w:ascii="Arial" w:cs="Arial" w:eastAsia="Arial" w:hAnsi="Arial"/>
                  <w:sz w:val="18"/>
                  <w:szCs w:val="18"/>
                  <w:color w:val="0000FF"/>
                  <w:w w:val="86"/>
                </w:rPr>
                <w:t>Master Lease agreement dated October 7, 2016, between</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tcBorders>
              <w:bottom w:val="single" w:sz="8" w:color="0000FF"/>
            </w:tcBorders>
            <w:gridSpan w:val="7"/>
          </w:tcPr>
          <w:p>
            <w:pPr>
              <w:spacing w:after="0" w:line="182"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Upstart Network, Inc. and Open Text, Inc.</w:t>
              </w:r>
            </w:hyperlink>
          </w:p>
        </w:tc>
        <w:tc>
          <w:tcPr>
            <w:tcW w:w="1060" w:type="dxa"/>
            <w:vAlign w:val="bottom"/>
            <w:gridSpan w:val="15"/>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20" w:type="dxa"/>
            <w:vAlign w:val="bottom"/>
            <w:tcBorders>
              <w:bottom w:val="single" w:sz="8" w:color="0000FF"/>
            </w:tcBorders>
            <w:gridSpan w:val="21"/>
          </w:tcPr>
          <w:p>
            <w:pPr>
              <w:spacing w:after="0"/>
              <w:rPr>
                <w:rFonts w:ascii="Arial" w:cs="Arial" w:eastAsia="Arial" w:hAnsi="Arial"/>
                <w:sz w:val="18"/>
                <w:szCs w:val="18"/>
                <w:color w:val="0000FF"/>
                <w:w w:val="90"/>
              </w:rPr>
            </w:pPr>
            <w:hyperlink r:id="rId184">
              <w:r>
                <w:rPr>
                  <w:rFonts w:ascii="Arial" w:cs="Arial" w:eastAsia="Arial" w:hAnsi="Arial"/>
                  <w:sz w:val="18"/>
                  <w:szCs w:val="18"/>
                  <w:color w:val="0000FF"/>
                  <w:w w:val="90"/>
                </w:rPr>
                <w:t>Third Amended and Restated Loan Program Agreement,</w:t>
              </w:r>
            </w:hyperlink>
          </w:p>
        </w:tc>
        <w:tc>
          <w:tcPr>
            <w:tcW w:w="34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32"/>
          </w:tcPr>
          <w:p>
            <w:pPr>
              <w:spacing w:after="0" w:line="182" w:lineRule="exact"/>
              <w:rPr>
                <w:rFonts w:ascii="Arial" w:cs="Arial" w:eastAsia="Arial" w:hAnsi="Arial"/>
                <w:sz w:val="18"/>
                <w:szCs w:val="18"/>
                <w:color w:val="0000FF"/>
                <w:w w:val="95"/>
              </w:rPr>
            </w:pPr>
            <w:hyperlink r:id="rId184">
              <w:r>
                <w:rPr>
                  <w:rFonts w:ascii="Arial" w:cs="Arial" w:eastAsia="Arial" w:hAnsi="Arial"/>
                  <w:sz w:val="18"/>
                  <w:szCs w:val="18"/>
                  <w:color w:val="0000FF"/>
                  <w:w w:val="95"/>
                </w:rPr>
                <w:t>dated January 1, 2019, between Upstart Network, Inc. and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w w:val="89"/>
              </w:rPr>
            </w:pPr>
            <w:hyperlink r:id="rId184">
              <w:r>
                <w:rPr>
                  <w:rFonts w:ascii="Arial" w:cs="Arial" w:eastAsia="Arial" w:hAnsi="Arial"/>
                  <w:sz w:val="18"/>
                  <w:szCs w:val="18"/>
                  <w:color w:val="0000FF"/>
                  <w:w w:val="89"/>
                </w:rPr>
                <w:t>Cross River Bank, amended as of November 20, 2019 and</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Borders>
              <w:bottom w:val="single" w:sz="8" w:color="0000FF"/>
            </w:tcBorders>
            <w:gridSpan w:val="4"/>
          </w:tcPr>
          <w:p>
            <w:pPr>
              <w:spacing w:after="0" w:line="182" w:lineRule="exact"/>
              <w:rPr>
                <w:rFonts w:ascii="Arial" w:cs="Arial" w:eastAsia="Arial" w:hAnsi="Arial"/>
                <w:sz w:val="18"/>
                <w:szCs w:val="18"/>
                <w:color w:val="0000FF"/>
                <w:w w:val="89"/>
              </w:rPr>
            </w:pPr>
            <w:hyperlink r:id="rId184">
              <w:r>
                <w:rPr>
                  <w:rFonts w:ascii="Arial" w:cs="Arial" w:eastAsia="Arial" w:hAnsi="Arial"/>
                  <w:sz w:val="18"/>
                  <w:szCs w:val="18"/>
                  <w:color w:val="0000FF"/>
                  <w:w w:val="89"/>
                </w:rPr>
                <w:t>November 25, 2020.</w:t>
              </w:r>
            </w:hyperlink>
          </w:p>
        </w:tc>
        <w:tc>
          <w:tcPr>
            <w:tcW w:w="2740" w:type="dxa"/>
            <w:vAlign w:val="bottom"/>
            <w:gridSpan w:val="2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2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2"/>
          </w:tcPr>
          <w:p>
            <w:pPr>
              <w:spacing w:after="0"/>
              <w:rPr>
                <w:rFonts w:ascii="Arial" w:cs="Arial" w:eastAsia="Arial" w:hAnsi="Arial"/>
                <w:sz w:val="18"/>
                <w:szCs w:val="18"/>
                <w:color w:val="0000FF"/>
              </w:rPr>
            </w:pPr>
            <w:hyperlink r:id="rId185">
              <w:r>
                <w:rPr>
                  <w:rFonts w:ascii="Arial" w:cs="Arial" w:eastAsia="Arial" w:hAnsi="Arial"/>
                  <w:sz w:val="18"/>
                  <w:szCs w:val="18"/>
                  <w:color w:val="0000FF"/>
                </w:rPr>
                <w:t>Amendment No. 2, dated May 25, 2021, to the Third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tcBorders>
              <w:top w:val="single" w:sz="8" w:color="0000FF"/>
            </w:tcBorders>
            <w:gridSpan w:val="11"/>
          </w:tcPr>
          <w:p>
            <w:pPr>
              <w:spacing w:after="0" w:line="182" w:lineRule="exact"/>
              <w:rPr>
                <w:rFonts w:ascii="Arial" w:cs="Arial" w:eastAsia="Arial" w:hAnsi="Arial"/>
                <w:sz w:val="18"/>
                <w:szCs w:val="18"/>
                <w:color w:val="0000FF"/>
                <w:w w:val="89"/>
              </w:rPr>
            </w:pPr>
            <w:hyperlink r:id="rId185">
              <w:r>
                <w:rPr>
                  <w:rFonts w:ascii="Arial" w:cs="Arial" w:eastAsia="Arial" w:hAnsi="Arial"/>
                  <w:sz w:val="18"/>
                  <w:szCs w:val="18"/>
                  <w:color w:val="0000FF"/>
                  <w:w w:val="89"/>
                </w:rPr>
                <w:t>Amended and Restated Loan Sale Agreement, dated</w:t>
              </w:r>
            </w:hyperlink>
          </w:p>
        </w:tc>
        <w:tc>
          <w:tcPr>
            <w:tcW w:w="60" w:type="dxa"/>
            <w:vAlign w:val="bottom"/>
          </w:tcPr>
          <w:p>
            <w:pPr>
              <w:spacing w:after="0"/>
              <w:rPr>
                <w:sz w:val="15"/>
                <w:szCs w:val="15"/>
                <w:color w:val="auto"/>
              </w:rPr>
            </w:pPr>
          </w:p>
        </w:tc>
        <w:tc>
          <w:tcPr>
            <w:tcW w:w="600" w:type="dxa"/>
            <w:vAlign w:val="bottom"/>
            <w:gridSpan w:val="20"/>
          </w:tcPr>
          <w:p>
            <w:pPr>
              <w:spacing w:after="0" w:line="182" w:lineRule="exact"/>
              <w:rPr>
                <w:rFonts w:ascii="Arial" w:cs="Arial" w:eastAsia="Arial" w:hAnsi="Arial"/>
                <w:sz w:val="18"/>
                <w:szCs w:val="18"/>
                <w:color w:val="0000FF"/>
                <w:w w:val="90"/>
              </w:rPr>
            </w:pPr>
            <w:hyperlink r:id="rId185">
              <w:r>
                <w:rPr>
                  <w:rFonts w:ascii="Arial" w:cs="Arial" w:eastAsia="Arial" w:hAnsi="Arial"/>
                  <w:sz w:val="18"/>
                  <w:szCs w:val="18"/>
                  <w:color w:val="0000FF"/>
                  <w:w w:val="90"/>
                </w:rPr>
                <w:t>January</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80" w:type="dxa"/>
            <w:vAlign w:val="bottom"/>
            <w:tcBorders>
              <w:top w:val="single" w:sz="8" w:color="0000FF"/>
            </w:tcBorders>
            <w:gridSpan w:val="31"/>
          </w:tcPr>
          <w:p>
            <w:pPr>
              <w:spacing w:after="0" w:line="182" w:lineRule="exact"/>
              <w:rPr>
                <w:rFonts w:ascii="Arial" w:cs="Arial" w:eastAsia="Arial" w:hAnsi="Arial"/>
                <w:sz w:val="18"/>
                <w:szCs w:val="18"/>
                <w:color w:val="0000FF"/>
                <w:w w:val="97"/>
              </w:rPr>
            </w:pPr>
            <w:hyperlink r:id="rId185">
              <w:r>
                <w:rPr>
                  <w:rFonts w:ascii="Arial" w:cs="Arial" w:eastAsia="Arial" w:hAnsi="Arial"/>
                  <w:sz w:val="18"/>
                  <w:szCs w:val="18"/>
                  <w:color w:val="0000FF"/>
                  <w:w w:val="97"/>
                </w:rPr>
                <w:t>1, 2019, between Upstart Network, Inc. and Cross River</w:t>
              </w:r>
            </w:hyperlink>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60" w:type="dxa"/>
            <w:vAlign w:val="bottom"/>
            <w:tcBorders>
              <w:top w:val="single" w:sz="8" w:color="0000FF"/>
            </w:tcBorders>
            <w:gridSpan w:val="18"/>
          </w:tcPr>
          <w:p>
            <w:pPr>
              <w:spacing w:after="0" w:line="182" w:lineRule="exact"/>
              <w:rPr>
                <w:rFonts w:ascii="Arial" w:cs="Arial" w:eastAsia="Arial" w:hAnsi="Arial"/>
                <w:sz w:val="18"/>
                <w:szCs w:val="18"/>
                <w:color w:val="0000FF"/>
                <w:w w:val="94"/>
              </w:rPr>
            </w:pPr>
            <w:hyperlink r:id="rId185">
              <w:r>
                <w:rPr>
                  <w:rFonts w:ascii="Arial" w:cs="Arial" w:eastAsia="Arial" w:hAnsi="Arial"/>
                  <w:sz w:val="18"/>
                  <w:szCs w:val="18"/>
                  <w:color w:val="0000FF"/>
                  <w:w w:val="94"/>
                </w:rPr>
                <w:t>Bank, as previously amended on November 25, 2020.</w:t>
              </w:r>
            </w:hyperlink>
          </w:p>
        </w:tc>
        <w:tc>
          <w:tcPr>
            <w:tcW w:w="40" w:type="dxa"/>
            <w:vAlign w:val="bottom"/>
            <w:gridSpan w:val="2"/>
          </w:tcPr>
          <w:p>
            <w:pPr>
              <w:spacing w:after="0"/>
              <w:rPr>
                <w:sz w:val="15"/>
                <w:szCs w:val="15"/>
                <w:color w:val="auto"/>
              </w:rPr>
            </w:pPr>
          </w:p>
        </w:tc>
        <w:tc>
          <w:tcPr>
            <w:tcW w:w="14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8"/>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2"/>
          </w:tcPr>
          <w:p>
            <w:pPr>
              <w:spacing w:after="0"/>
              <w:rPr>
                <w:rFonts w:ascii="Arial" w:cs="Arial" w:eastAsia="Arial" w:hAnsi="Arial"/>
                <w:sz w:val="18"/>
                <w:szCs w:val="18"/>
                <w:color w:val="0000FF"/>
                <w:w w:val="94"/>
              </w:rPr>
            </w:pPr>
            <w:hyperlink r:id="rId186">
              <w:r>
                <w:rPr>
                  <w:rFonts w:ascii="Arial" w:cs="Arial" w:eastAsia="Arial" w:hAnsi="Arial"/>
                  <w:sz w:val="18"/>
                  <w:szCs w:val="18"/>
                  <w:color w:val="0000FF"/>
                  <w:w w:val="94"/>
                </w:rPr>
                <w:t>Third Amended and Restated Loan Sale Agreement, dated</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top w:val="single" w:sz="8" w:color="0000FF"/>
              <w:bottom w:val="single" w:sz="8" w:color="0000FF"/>
            </w:tcBorders>
            <w:gridSpan w:val="26"/>
          </w:tcPr>
          <w:p>
            <w:pPr>
              <w:spacing w:after="0" w:line="182" w:lineRule="exact"/>
              <w:rPr>
                <w:rFonts w:ascii="Arial" w:cs="Arial" w:eastAsia="Arial" w:hAnsi="Arial"/>
                <w:sz w:val="18"/>
                <w:szCs w:val="18"/>
                <w:color w:val="0000FF"/>
                <w:w w:val="90"/>
              </w:rPr>
            </w:pPr>
            <w:hyperlink r:id="rId186">
              <w:r>
                <w:rPr>
                  <w:rFonts w:ascii="Arial" w:cs="Arial" w:eastAsia="Arial" w:hAnsi="Arial"/>
                  <w:sz w:val="18"/>
                  <w:szCs w:val="18"/>
                  <w:color w:val="0000FF"/>
                  <w:w w:val="90"/>
                </w:rPr>
                <w:t>January 1, 2019, between Upstart Network, Inc. and Cross</w:t>
              </w:r>
            </w:hyperlink>
          </w:p>
        </w:tc>
        <w:tc>
          <w:tcPr>
            <w:tcW w:w="20" w:type="dxa"/>
            <w:vAlign w:val="bottom"/>
            <w:tcBorders>
              <w:bottom w:val="single" w:sz="8" w:color="0000FF"/>
            </w:tcBorders>
          </w:tcPr>
          <w:p>
            <w:pPr>
              <w:spacing w:after="0"/>
              <w:rPr>
                <w:sz w:val="15"/>
                <w:szCs w:val="15"/>
                <w:color w:val="auto"/>
              </w:rPr>
            </w:pPr>
          </w:p>
        </w:tc>
        <w:tc>
          <w:tcPr>
            <w:tcW w:w="2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tcBorders>
              <w:bottom w:val="single" w:sz="8" w:color="0000FF"/>
            </w:tcBorders>
            <w:gridSpan w:val="10"/>
          </w:tcPr>
          <w:p>
            <w:pPr>
              <w:spacing w:after="0" w:line="182" w:lineRule="exact"/>
              <w:rPr>
                <w:rFonts w:ascii="Arial" w:cs="Arial" w:eastAsia="Arial" w:hAnsi="Arial"/>
                <w:sz w:val="18"/>
                <w:szCs w:val="18"/>
                <w:color w:val="0000FF"/>
                <w:w w:val="89"/>
              </w:rPr>
            </w:pPr>
            <w:hyperlink r:id="rId186">
              <w:r>
                <w:rPr>
                  <w:rFonts w:ascii="Arial" w:cs="Arial" w:eastAsia="Arial" w:hAnsi="Arial"/>
                  <w:sz w:val="18"/>
                  <w:szCs w:val="18"/>
                  <w:color w:val="0000FF"/>
                  <w:w w:val="89"/>
                </w:rPr>
                <w:t>River Bank, amended as of November 25, 2020.</w:t>
              </w:r>
            </w:hyperlink>
          </w:p>
        </w:tc>
        <w:tc>
          <w:tcPr>
            <w:tcW w:w="780" w:type="dxa"/>
            <w:vAlign w:val="bottom"/>
            <w:gridSpan w:val="17"/>
          </w:tcPr>
          <w:p>
            <w:pPr>
              <w:spacing w:after="0"/>
              <w:rPr>
                <w:sz w:val="15"/>
                <w:szCs w:val="15"/>
                <w:color w:val="auto"/>
              </w:rPr>
            </w:pPr>
          </w:p>
        </w:tc>
        <w:tc>
          <w:tcPr>
            <w:tcW w:w="2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8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tcBorders>
              <w:bottom w:val="single" w:sz="8" w:color="0000FF"/>
            </w:tcBorders>
            <w:gridSpan w:val="12"/>
          </w:tcPr>
          <w:p>
            <w:pPr>
              <w:spacing w:after="0"/>
              <w:rPr>
                <w:rFonts w:ascii="Arial" w:cs="Arial" w:eastAsia="Arial" w:hAnsi="Arial"/>
                <w:sz w:val="18"/>
                <w:szCs w:val="18"/>
                <w:color w:val="0000FF"/>
                <w:w w:val="91"/>
              </w:rPr>
            </w:pPr>
            <w:hyperlink r:id="rId187">
              <w:r>
                <w:rPr>
                  <w:rFonts w:ascii="Arial" w:cs="Arial" w:eastAsia="Arial" w:hAnsi="Arial"/>
                  <w:sz w:val="18"/>
                  <w:szCs w:val="18"/>
                  <w:color w:val="0000FF"/>
                  <w:w w:val="91"/>
                </w:rPr>
                <w:t>Amendment No. 3, dated May 25, 2021, to the Third</w:t>
              </w:r>
            </w:hyperlink>
          </w:p>
        </w:tc>
        <w:tc>
          <w:tcPr>
            <w:tcW w:w="600" w:type="dxa"/>
            <w:vAlign w:val="bottom"/>
            <w:gridSpan w:val="20"/>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00" w:type="dxa"/>
            <w:vAlign w:val="bottom"/>
            <w:tcBorders>
              <w:bottom w:val="single" w:sz="8" w:color="0000FF"/>
            </w:tcBorders>
            <w:gridSpan w:val="20"/>
          </w:tcPr>
          <w:p>
            <w:pPr>
              <w:spacing w:after="0" w:line="182" w:lineRule="exact"/>
              <w:rPr>
                <w:rFonts w:ascii="Arial" w:cs="Arial" w:eastAsia="Arial" w:hAnsi="Arial"/>
                <w:sz w:val="18"/>
                <w:szCs w:val="18"/>
                <w:color w:val="0000FF"/>
                <w:w w:val="89"/>
              </w:rPr>
            </w:pPr>
            <w:hyperlink r:id="rId187">
              <w:r>
                <w:rPr>
                  <w:rFonts w:ascii="Arial" w:cs="Arial" w:eastAsia="Arial" w:hAnsi="Arial"/>
                  <w:sz w:val="18"/>
                  <w:szCs w:val="18"/>
                  <w:color w:val="0000FF"/>
                  <w:w w:val="89"/>
                </w:rPr>
                <w:t>Amended and Restated Loan Program Agreement, dated</w:t>
              </w:r>
            </w:hyperlink>
          </w:p>
        </w:tc>
        <w:tc>
          <w:tcPr>
            <w:tcW w:w="3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32"/>
          </w:tcPr>
          <w:p>
            <w:pPr>
              <w:spacing w:after="0" w:line="182" w:lineRule="exact"/>
              <w:rPr>
                <w:rFonts w:ascii="Arial" w:cs="Arial" w:eastAsia="Arial" w:hAnsi="Arial"/>
                <w:sz w:val="18"/>
                <w:szCs w:val="18"/>
                <w:color w:val="0000FF"/>
                <w:w w:val="95"/>
              </w:rPr>
            </w:pPr>
            <w:hyperlink r:id="rId187">
              <w:r>
                <w:rPr>
                  <w:rFonts w:ascii="Arial" w:cs="Arial" w:eastAsia="Arial" w:hAnsi="Arial"/>
                  <w:sz w:val="18"/>
                  <w:szCs w:val="18"/>
                  <w:color w:val="0000FF"/>
                  <w:w w:val="95"/>
                </w:rPr>
                <w:t>January 1, 2019, between Upstart Network, Inc. and Cross</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87">
              <w:r>
                <w:rPr>
                  <w:rFonts w:ascii="Arial" w:cs="Arial" w:eastAsia="Arial" w:hAnsi="Arial"/>
                  <w:sz w:val="18"/>
                  <w:szCs w:val="18"/>
                  <w:color w:val="0000FF"/>
                </w:rPr>
                <w:t>River Bank, amended as November 25, 2020.</w:t>
              </w:r>
            </w:hyperlink>
          </w:p>
        </w:tc>
        <w:tc>
          <w:tcPr>
            <w:tcW w:w="2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-5005705</wp:posOffset>
            </wp:positionV>
            <wp:extent cx="7132320" cy="3003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-4413885</wp:posOffset>
            </wp:positionV>
            <wp:extent cx="7132320" cy="257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-3899535</wp:posOffset>
            </wp:positionV>
            <wp:extent cx="7132320" cy="291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-3462655</wp:posOffset>
            </wp:positionV>
            <wp:extent cx="7132320" cy="291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-2879725</wp:posOffset>
            </wp:positionV>
            <wp:extent cx="7132320" cy="419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548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420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5480"/>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Incorporated by Reference</w:t>
            </w:r>
          </w:p>
        </w:tc>
      </w:tr>
      <w:tr>
        <w:trPr>
          <w:trHeight w:val="391"/>
        </w:trPr>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File No.</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224"/>
        </w:trPr>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center"/>
              <w:ind w:left="70"/>
              <w:spacing w:after="0"/>
              <w:rPr>
                <w:sz w:val="20"/>
                <w:szCs w:val="20"/>
                <w:color w:val="auto"/>
              </w:rPr>
            </w:pPr>
            <w:r>
              <w:rPr>
                <w:rFonts w:ascii="Arial" w:cs="Arial" w:eastAsia="Arial" w:hAnsi="Arial"/>
                <w:sz w:val="18"/>
                <w:szCs w:val="18"/>
                <w:color w:val="auto"/>
                <w:w w:val="90"/>
              </w:rPr>
              <w:t>001-39797</w:t>
            </w: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August 20, 2021</w:t>
            </w:r>
          </w:p>
        </w:tc>
      </w:tr>
      <w:tr>
        <w:trPr>
          <w:trHeight w:val="458"/>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333-249860</w:t>
            </w:r>
          </w:p>
        </w:tc>
        <w:tc>
          <w:tcPr>
            <w:tcW w:w="1200" w:type="dxa"/>
            <w:vAlign w:val="bottom"/>
            <w:gridSpan w:val="3"/>
          </w:tcPr>
          <w:p>
            <w:pPr>
              <w:jc w:val="center"/>
              <w:ind w:left="170"/>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December 4, 2020</w:t>
            </w:r>
          </w:p>
        </w:tc>
      </w:tr>
      <w:tr>
        <w:trPr>
          <w:trHeight w:val="459"/>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90"/>
              </w:rPr>
              <w:t>001-39797</w:t>
            </w:r>
          </w:p>
        </w:tc>
        <w:tc>
          <w:tcPr>
            <w:tcW w:w="1200" w:type="dxa"/>
            <w:vAlign w:val="bottom"/>
            <w:gridSpan w:val="3"/>
          </w:tcPr>
          <w:p>
            <w:pPr>
              <w:jc w:val="center"/>
              <w:ind w:left="170"/>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November 12, 2021</w:t>
            </w:r>
          </w:p>
        </w:tc>
      </w:tr>
      <w:tr>
        <w:trPr>
          <w:trHeight w:val="405"/>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333-249860</w:t>
            </w:r>
          </w:p>
        </w:tc>
        <w:tc>
          <w:tcPr>
            <w:tcW w:w="1200" w:type="dxa"/>
            <w:vAlign w:val="bottom"/>
            <w:gridSpan w:val="3"/>
          </w:tcPr>
          <w:p>
            <w:pPr>
              <w:jc w:val="center"/>
              <w:ind w:left="170"/>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November 6, 2020</w:t>
            </w:r>
          </w:p>
        </w:tc>
      </w:tr>
      <w:tr>
        <w:trPr>
          <w:trHeight w:val="405"/>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333-249860</w:t>
            </w:r>
          </w:p>
        </w:tc>
        <w:tc>
          <w:tcPr>
            <w:tcW w:w="1200" w:type="dxa"/>
            <w:vAlign w:val="bottom"/>
            <w:gridSpan w:val="3"/>
          </w:tcPr>
          <w:p>
            <w:pPr>
              <w:jc w:val="center"/>
              <w:ind w:left="170"/>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December 4, 2020</w:t>
            </w:r>
          </w:p>
        </w:tc>
      </w:tr>
      <w:tr>
        <w:trPr>
          <w:trHeight w:val="458"/>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333-249860</w:t>
            </w:r>
          </w:p>
        </w:tc>
        <w:tc>
          <w:tcPr>
            <w:tcW w:w="1200" w:type="dxa"/>
            <w:vAlign w:val="bottom"/>
            <w:gridSpan w:val="3"/>
          </w:tcPr>
          <w:p>
            <w:pPr>
              <w:jc w:val="center"/>
              <w:ind w:left="170"/>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December 4, 2020</w:t>
            </w:r>
          </w:p>
        </w:tc>
      </w:tr>
      <w:tr>
        <w:trPr>
          <w:trHeight w:val="230"/>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333-249860</w:t>
            </w:r>
          </w:p>
        </w:tc>
        <w:tc>
          <w:tcPr>
            <w:tcW w:w="1200" w:type="dxa"/>
            <w:vAlign w:val="bottom"/>
            <w:gridSpan w:val="3"/>
          </w:tcPr>
          <w:p>
            <w:pPr>
              <w:jc w:val="center"/>
              <w:ind w:left="170"/>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December 4, 2020</w:t>
            </w:r>
          </w:p>
        </w:tc>
      </w:tr>
      <w:tr>
        <w:trPr>
          <w:trHeight w:val="918"/>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333-249860</w:t>
            </w:r>
          </w:p>
        </w:tc>
        <w:tc>
          <w:tcPr>
            <w:tcW w:w="1200" w:type="dxa"/>
            <w:vAlign w:val="bottom"/>
            <w:gridSpan w:val="3"/>
          </w:tcPr>
          <w:p>
            <w:pPr>
              <w:jc w:val="center"/>
              <w:ind w:left="170"/>
              <w:spacing w:after="0"/>
              <w:rPr>
                <w:sz w:val="20"/>
                <w:szCs w:val="20"/>
                <w:color w:val="auto"/>
              </w:rPr>
            </w:pPr>
            <w:r>
              <w:rPr>
                <w:rFonts w:ascii="Arial" w:cs="Arial" w:eastAsia="Arial" w:hAnsi="Arial"/>
                <w:sz w:val="18"/>
                <w:szCs w:val="18"/>
                <w:color w:val="auto"/>
                <w:w w:val="85"/>
              </w:rPr>
              <w:t>10.8</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November 5, 2020</w:t>
            </w:r>
          </w:p>
        </w:tc>
      </w:tr>
      <w:tr>
        <w:trPr>
          <w:trHeight w:val="662"/>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90"/>
              </w:rPr>
              <w:t>001-39797</w:t>
            </w:r>
          </w:p>
        </w:tc>
        <w:tc>
          <w:tcPr>
            <w:tcW w:w="1200" w:type="dxa"/>
            <w:vAlign w:val="bottom"/>
            <w:gridSpan w:val="3"/>
          </w:tcPr>
          <w:p>
            <w:pPr>
              <w:jc w:val="center"/>
              <w:ind w:left="170"/>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November 12, 2021</w:t>
            </w:r>
          </w:p>
        </w:tc>
      </w:tr>
      <w:tr>
        <w:trPr>
          <w:trHeight w:val="662"/>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333-249860</w:t>
            </w:r>
          </w:p>
        </w:tc>
        <w:tc>
          <w:tcPr>
            <w:tcW w:w="1200" w:type="dxa"/>
            <w:vAlign w:val="bottom"/>
            <w:gridSpan w:val="3"/>
          </w:tcPr>
          <w:p>
            <w:pPr>
              <w:jc w:val="center"/>
              <w:ind w:left="150"/>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December 4, 2020</w:t>
            </w:r>
          </w:p>
        </w:tc>
      </w:tr>
      <w:tr>
        <w:trPr>
          <w:trHeight w:val="86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90"/>
              </w:rPr>
              <w:t>001-39797</w:t>
            </w:r>
          </w:p>
        </w:tc>
        <w:tc>
          <w:tcPr>
            <w:tcW w:w="1200" w:type="dxa"/>
            <w:vAlign w:val="bottom"/>
            <w:gridSpan w:val="3"/>
          </w:tcPr>
          <w:p>
            <w:pPr>
              <w:jc w:val="center"/>
              <w:ind w:left="170"/>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86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333-249860</w:t>
            </w:r>
          </w:p>
        </w:tc>
        <w:tc>
          <w:tcPr>
            <w:tcW w:w="1200" w:type="dxa"/>
            <w:vAlign w:val="bottom"/>
            <w:gridSpan w:val="3"/>
          </w:tcPr>
          <w:p>
            <w:pPr>
              <w:jc w:val="center"/>
              <w:ind w:left="150"/>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December 4, 2020</w:t>
            </w:r>
          </w:p>
        </w:tc>
      </w:tr>
      <w:tr>
        <w:trPr>
          <w:trHeight w:val="662"/>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90"/>
              </w:rPr>
              <w:t>001-39797</w:t>
            </w:r>
          </w:p>
        </w:tc>
        <w:tc>
          <w:tcPr>
            <w:tcW w:w="1200" w:type="dxa"/>
            <w:vAlign w:val="bottom"/>
            <w:gridSpan w:val="3"/>
          </w:tcPr>
          <w:p>
            <w:pPr>
              <w:jc w:val="center"/>
              <w:ind w:left="170"/>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bl>
    <w:p>
      <w:pPr>
        <w:sectPr>
          <w:pgSz w:w="11900" w:h="16838" w:orient="portrait"/>
          <w:cols w:equalWidth="0" w:num="2">
            <w:col w:w="5760" w:space="0"/>
            <w:col w:w="5480"/>
          </w:cols>
          <w:pgMar w:left="320" w:top="1440" w:right="339" w:bottom="1440" w:gutter="0" w:footer="0" w:header="0"/>
        </w:sectPr>
      </w:pPr>
    </w:p>
    <w:bookmarkStart w:id="161" w:name="page162"/>
    <w:bookmarkEnd w:id="161"/>
    <w:p>
      <w:pPr>
        <w:spacing w:after="0" w:line="32"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Incorporated by Reference</w:t>
      </w:r>
    </w:p>
    <w:p>
      <w:pPr>
        <w:sectPr>
          <w:pgSz w:w="11900" w:h="16838" w:orient="portrait"/>
          <w:cols w:equalWidth="0" w:num="1">
            <w:col w:w="11240"/>
          </w:cols>
          <w:pgMar w:left="320" w:top="1440" w:right="339" w:bottom="1440" w:gutter="0" w:footer="0" w:header="0"/>
        </w:sectPr>
      </w:pP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Exhibit</w:t>
      </w: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10.14^</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10.16^</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10.17+</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17145</wp:posOffset>
            </wp:positionV>
            <wp:extent cx="7132320" cy="3771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 w:lineRule="exact"/>
        <w:rPr>
          <w:sz w:val="20"/>
          <w:szCs w:val="20"/>
          <w:color w:val="auto"/>
        </w:rPr>
      </w:pPr>
    </w:p>
    <w:p>
      <w:pPr>
        <w:ind w:right="40"/>
        <w:spacing w:after="0" w:line="224" w:lineRule="auto"/>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Second Amended and Restated Promotion Agreement, dated</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November 6, 2020, between Upstart Network, Inc. and</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Credit Karma Offers, Inc.</w:t>
        </w:r>
      </w:hyperlink>
    </w:p>
    <w:p>
      <w:pPr>
        <w:spacing w:after="0" w:line="14" w:lineRule="exact"/>
        <w:rPr>
          <w:rFonts w:ascii="Arial" w:cs="Arial" w:eastAsia="Arial" w:hAnsi="Arial"/>
          <w:sz w:val="18"/>
          <w:szCs w:val="18"/>
          <w:u w:val="single" w:color="auto"/>
          <w:color w:val="0000FF"/>
        </w:rPr>
      </w:pPr>
    </w:p>
    <w:p>
      <w:pPr>
        <w:ind w:right="200"/>
        <w:spacing w:after="0" w:line="243" w:lineRule="auto"/>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Amended and Restated TransUnion Master Agreement for</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Consumer Reporting and Ancillary Services, dated</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November 25, 2020, between Upstart Network, Inc. and</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TransUnion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-768985</wp:posOffset>
            </wp:positionH>
            <wp:positionV relativeFrom="paragraph">
              <wp:posOffset>8255</wp:posOffset>
            </wp:positionV>
            <wp:extent cx="7132320" cy="420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6" w:lineRule="exact"/>
        <w:rPr>
          <w:rFonts w:ascii="Arial" w:cs="Arial" w:eastAsia="Arial" w:hAnsi="Arial"/>
          <w:sz w:val="18"/>
          <w:szCs w:val="18"/>
          <w:u w:val="single" w:color="auto"/>
          <w:color w:val="0000FF"/>
        </w:rPr>
      </w:pPr>
    </w:p>
    <w:p>
      <w:pPr>
        <w:jc w:val="both"/>
        <w:ind w:right="360"/>
        <w:spacing w:after="0" w:line="248" w:lineRule="auto"/>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Amended and Restated Billing Agent Agreement, dated</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November 25, 2020, between Upstart Network, Inc. and</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Trans Union LLC.</w:t>
        </w:r>
      </w:hyperlink>
    </w:p>
    <w:p>
      <w:pPr>
        <w:spacing w:after="0" w:line="20" w:lineRule="exact"/>
        <w:rPr>
          <w:rFonts w:ascii="Arial" w:cs="Arial" w:eastAsia="Arial" w:hAnsi="Arial"/>
          <w:sz w:val="18"/>
          <w:szCs w:val="18"/>
          <w:u w:val="single" w:color="auto"/>
          <w:color w:val="0000FF"/>
        </w:rPr>
      </w:pPr>
    </w:p>
    <w:p>
      <w:pPr>
        <w:spacing w:after="0" w:line="261" w:lineRule="auto"/>
        <w:rPr>
          <w:rFonts w:ascii="Arial" w:cs="Arial" w:eastAsia="Arial" w:hAnsi="Arial"/>
          <w:sz w:val="18"/>
          <w:szCs w:val="18"/>
          <w:color w:val="0000FF"/>
        </w:rPr>
      </w:pPr>
      <w:hyperlink r:id="rId201">
        <w:r>
          <w:rPr>
            <w:rFonts w:ascii="Arial" w:cs="Arial" w:eastAsia="Arial" w:hAnsi="Arial"/>
            <w:sz w:val="18"/>
            <w:szCs w:val="18"/>
            <w:u w:val="single" w:color="auto"/>
            <w:color w:val="0000FF"/>
          </w:rPr>
          <w:t>Prodigy Software, Inc. 2015 Stock Incentive Plan and related</w:t>
        </w:r>
      </w:hyperlink>
      <w:r>
        <w:rPr>
          <w:rFonts w:ascii="Arial" w:cs="Arial" w:eastAsia="Arial" w:hAnsi="Arial"/>
          <w:sz w:val="18"/>
          <w:szCs w:val="18"/>
          <w:u w:val="single" w:color="auto"/>
          <w:color w:val="0000FF"/>
        </w:rPr>
        <w:t xml:space="preserve"> </w:t>
      </w:r>
      <w:hyperlink r:id="rId201">
        <w:r>
          <w:rPr>
            <w:rFonts w:ascii="Arial" w:cs="Arial" w:eastAsia="Arial" w:hAnsi="Arial"/>
            <w:sz w:val="18"/>
            <w:szCs w:val="18"/>
            <w:u w:val="single" w:color="auto"/>
            <w:color w:val="0000FF"/>
          </w:rPr>
          <w:t>form agreements</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File No.</w:t>
            </w: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224"/>
        </w:trPr>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S-1/A</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333-249860</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19"/>
                <w:szCs w:val="19"/>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November 6, 2020</w:t>
            </w:r>
          </w:p>
        </w:tc>
      </w:tr>
      <w:tr>
        <w:trPr>
          <w:trHeight w:val="580"/>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333-249860</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December 7, 2020</w:t>
            </w:r>
          </w:p>
        </w:tc>
      </w:tr>
      <w:tr>
        <w:trPr>
          <w:trHeight w:val="86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333-249860</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December 7, 2020</w:t>
            </w:r>
          </w:p>
        </w:tc>
      </w:tr>
      <w:tr>
        <w:trPr>
          <w:trHeight w:val="661"/>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333-255270</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5"/>
              </w:rPr>
              <w:t>April 16,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-1748155</wp:posOffset>
            </wp:positionV>
            <wp:extent cx="28803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880" w:space="340"/>
            <w:col w:w="4400" w:space="140"/>
            <w:col w:w="54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122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color w:val="auto"/>
              </w:rPr>
              <w:t>10.18</w:t>
            </w:r>
          </w:p>
        </w:tc>
        <w:tc>
          <w:tcPr>
            <w:tcW w:w="4600" w:type="dxa"/>
            <w:vAlign w:val="bottom"/>
            <w:gridSpan w:val="9"/>
            <w:shd w:val="clear" w:color="auto" w:fill="CCEEFF"/>
          </w:tcPr>
          <w:p>
            <w:pPr>
              <w:spacing w:after="0" w:line="199" w:lineRule="exact"/>
              <w:rPr>
                <w:rFonts w:ascii="Arial" w:cs="Arial" w:eastAsia="Arial" w:hAnsi="Arial"/>
                <w:sz w:val="18"/>
                <w:szCs w:val="18"/>
                <w:color w:val="0000FF"/>
              </w:rPr>
            </w:pPr>
            <w:hyperlink r:id="rId203">
              <w:r>
                <w:rPr>
                  <w:rFonts w:ascii="Arial" w:cs="Arial" w:eastAsia="Arial" w:hAnsi="Arial"/>
                  <w:sz w:val="18"/>
                  <w:szCs w:val="18"/>
                  <w:color w:val="0000FF"/>
                </w:rPr>
                <w:t>Form of Capped Call Confirmation</w:t>
              </w:r>
            </w:hyperlink>
            <w:r>
              <w:rPr>
                <w:rFonts w:ascii="Arial" w:cs="Arial" w:eastAsia="Arial" w:hAnsi="Arial"/>
                <w:sz w:val="18"/>
                <w:szCs w:val="18"/>
                <w:color w:val="000000"/>
              </w:rPr>
              <w:t>.</w:t>
            </w:r>
          </w:p>
        </w:tc>
        <w:tc>
          <w:tcPr>
            <w:tcW w:w="840" w:type="dxa"/>
            <w:vAlign w:val="bottom"/>
            <w:shd w:val="clear" w:color="auto" w:fill="CCEEFF"/>
          </w:tcPr>
          <w:p>
            <w:pPr>
              <w:ind w:left="220"/>
              <w:spacing w:after="0" w:line="199" w:lineRule="exact"/>
              <w:rPr>
                <w:sz w:val="20"/>
                <w:szCs w:val="20"/>
                <w:color w:val="auto"/>
              </w:rPr>
            </w:pPr>
            <w:r>
              <w:rPr>
                <w:rFonts w:ascii="Arial" w:cs="Arial" w:eastAsia="Arial" w:hAnsi="Arial"/>
                <w:sz w:val="18"/>
                <w:szCs w:val="18"/>
                <w:color w:val="auto"/>
              </w:rPr>
              <w:t>8-K</w:t>
            </w:r>
          </w:p>
        </w:tc>
        <w:tc>
          <w:tcPr>
            <w:tcW w:w="1440" w:type="dxa"/>
            <w:vAlign w:val="bottom"/>
            <w:shd w:val="clear" w:color="auto" w:fill="CCEEFF"/>
          </w:tcPr>
          <w:p>
            <w:pPr>
              <w:jc w:val="right"/>
              <w:ind w:right="250"/>
              <w:spacing w:after="0" w:line="199" w:lineRule="exact"/>
              <w:rPr>
                <w:sz w:val="20"/>
                <w:szCs w:val="20"/>
                <w:color w:val="auto"/>
              </w:rPr>
            </w:pPr>
            <w:r>
              <w:rPr>
                <w:rFonts w:ascii="Arial" w:cs="Arial" w:eastAsia="Arial" w:hAnsi="Arial"/>
                <w:sz w:val="18"/>
                <w:szCs w:val="18"/>
                <w:color w:val="auto"/>
              </w:rPr>
              <w:t>001-39797</w:t>
            </w:r>
          </w:p>
        </w:tc>
        <w:tc>
          <w:tcPr>
            <w:tcW w:w="1080" w:type="dxa"/>
            <w:vAlign w:val="bottom"/>
            <w:shd w:val="clear" w:color="auto" w:fill="CCEEFF"/>
          </w:tcPr>
          <w:p>
            <w:pPr>
              <w:jc w:val="right"/>
              <w:ind w:right="330"/>
              <w:spacing w:after="0" w:line="199" w:lineRule="exact"/>
              <w:rPr>
                <w:sz w:val="20"/>
                <w:szCs w:val="20"/>
                <w:color w:val="auto"/>
              </w:rPr>
            </w:pPr>
            <w:r>
              <w:rPr>
                <w:rFonts w:ascii="Arial" w:cs="Arial" w:eastAsia="Arial" w:hAnsi="Arial"/>
                <w:sz w:val="18"/>
                <w:szCs w:val="18"/>
                <w:color w:val="auto"/>
              </w:rPr>
              <w:t>10.1</w:t>
            </w:r>
          </w:p>
        </w:tc>
        <w:tc>
          <w:tcPr>
            <w:tcW w:w="2060" w:type="dxa"/>
            <w:vAlign w:val="bottom"/>
            <w:shd w:val="clear" w:color="auto" w:fill="CCEEFF"/>
          </w:tcPr>
          <w:p>
            <w:pPr>
              <w:ind w:left="420"/>
              <w:spacing w:after="0" w:line="199" w:lineRule="exact"/>
              <w:rPr>
                <w:sz w:val="20"/>
                <w:szCs w:val="20"/>
                <w:color w:val="auto"/>
              </w:rPr>
            </w:pPr>
            <w:r>
              <w:rPr>
                <w:rFonts w:ascii="Arial" w:cs="Arial" w:eastAsia="Arial" w:hAnsi="Arial"/>
                <w:sz w:val="18"/>
                <w:szCs w:val="18"/>
                <w:color w:val="auto"/>
              </w:rPr>
              <w:t>August 20, 2021</w:t>
            </w:r>
          </w:p>
        </w:tc>
      </w:tr>
      <w:tr>
        <w:trPr>
          <w:trHeight w:val="34"/>
        </w:trPr>
        <w:tc>
          <w:tcPr>
            <w:tcW w:w="12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r>
      <w:tr>
        <w:trPr>
          <w:trHeight w:val="202"/>
        </w:trPr>
        <w:tc>
          <w:tcPr>
            <w:tcW w:w="1220" w:type="dxa"/>
            <w:vAlign w:val="bottom"/>
          </w:tcPr>
          <w:p>
            <w:pPr>
              <w:ind w:left="20"/>
              <w:spacing w:after="0" w:line="202" w:lineRule="exact"/>
              <w:rPr>
                <w:sz w:val="20"/>
                <w:szCs w:val="20"/>
                <w:color w:val="auto"/>
              </w:rPr>
            </w:pPr>
            <w:r>
              <w:rPr>
                <w:rFonts w:ascii="Arial" w:cs="Arial" w:eastAsia="Arial" w:hAnsi="Arial"/>
                <w:sz w:val="18"/>
                <w:szCs w:val="18"/>
                <w:color w:val="auto"/>
              </w:rPr>
              <w:t>21.1*</w:t>
            </w:r>
          </w:p>
        </w:tc>
        <w:tc>
          <w:tcPr>
            <w:tcW w:w="4600" w:type="dxa"/>
            <w:vAlign w:val="bottom"/>
            <w:gridSpan w:val="9"/>
          </w:tcPr>
          <w:p>
            <w:pPr>
              <w:spacing w:after="0" w:line="202" w:lineRule="exact"/>
              <w:rPr>
                <w:rFonts w:ascii="Arial" w:cs="Arial" w:eastAsia="Arial" w:hAnsi="Arial"/>
                <w:sz w:val="18"/>
                <w:szCs w:val="18"/>
                <w:color w:val="0000FF"/>
              </w:rPr>
            </w:pPr>
            <w:hyperlink w:anchor="page184">
              <w:r>
                <w:rPr>
                  <w:rFonts w:ascii="Arial" w:cs="Arial" w:eastAsia="Arial" w:hAnsi="Arial"/>
                  <w:sz w:val="18"/>
                  <w:szCs w:val="18"/>
                  <w:color w:val="0000FF"/>
                </w:rPr>
                <w:t>List of subsidiaries of the registrant.</w:t>
              </w:r>
            </w:hyperlink>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34"/>
        </w:trPr>
        <w:tc>
          <w:tcPr>
            <w:tcW w:w="122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12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23*</w:t>
            </w:r>
          </w:p>
        </w:tc>
        <w:tc>
          <w:tcPr>
            <w:tcW w:w="436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0"/>
              </w:rPr>
            </w:pPr>
            <w:hyperlink w:anchor="page185">
              <w:r>
                <w:rPr>
                  <w:rFonts w:ascii="Arial" w:cs="Arial" w:eastAsia="Arial" w:hAnsi="Arial"/>
                  <w:sz w:val="18"/>
                  <w:szCs w:val="18"/>
                  <w:color w:val="0000FF"/>
                  <w:w w:val="90"/>
                </w:rPr>
                <w:t>Consent of Independent Registered Public Accounting Firm.</w:t>
              </w:r>
            </w:hyperlink>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r>
      <w:tr>
        <w:trPr>
          <w:trHeight w:val="250"/>
        </w:trPr>
        <w:tc>
          <w:tcPr>
            <w:tcW w:w="1220" w:type="dxa"/>
            <w:vAlign w:val="bottom"/>
          </w:tcPr>
          <w:p>
            <w:pPr>
              <w:ind w:left="20"/>
              <w:spacing w:after="0"/>
              <w:rPr>
                <w:sz w:val="20"/>
                <w:szCs w:val="20"/>
                <w:color w:val="auto"/>
              </w:rPr>
            </w:pPr>
            <w:r>
              <w:rPr>
                <w:rFonts w:ascii="Arial" w:cs="Arial" w:eastAsia="Arial" w:hAnsi="Arial"/>
                <w:sz w:val="18"/>
                <w:szCs w:val="18"/>
                <w:color w:val="auto"/>
              </w:rPr>
              <w:t>24.1</w:t>
            </w:r>
          </w:p>
        </w:tc>
        <w:tc>
          <w:tcPr>
            <w:tcW w:w="4600" w:type="dxa"/>
            <w:vAlign w:val="bottom"/>
            <w:gridSpan w:val="9"/>
          </w:tcPr>
          <w:p>
            <w:pPr>
              <w:spacing w:after="0"/>
              <w:rPr>
                <w:sz w:val="20"/>
                <w:szCs w:val="20"/>
                <w:color w:val="auto"/>
              </w:rPr>
            </w:pPr>
            <w:r>
              <w:rPr>
                <w:rFonts w:ascii="Arial" w:cs="Arial" w:eastAsia="Arial" w:hAnsi="Arial"/>
                <w:sz w:val="18"/>
                <w:szCs w:val="18"/>
                <w:color w:val="auto"/>
                <w:w w:val="99"/>
              </w:rPr>
              <w:t>Power of Attorney (included in the signature page hereto).</w:t>
            </w: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09"/>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4600" w:type="dxa"/>
            <w:vAlign w:val="bottom"/>
            <w:gridSpan w:val="9"/>
            <w:shd w:val="clear" w:color="auto" w:fill="CCEEFF"/>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Certification of Principal Executive Officer pursuant to</w:t>
              </w:r>
            </w:hyperlink>
          </w:p>
        </w:tc>
        <w:tc>
          <w:tcPr>
            <w:tcW w:w="8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0"/>
        </w:trPr>
        <w:tc>
          <w:tcPr>
            <w:tcW w:w="122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r>
      <w:tr>
        <w:trPr>
          <w:trHeight w:val="182"/>
        </w:trPr>
        <w:tc>
          <w:tcPr>
            <w:tcW w:w="1220" w:type="dxa"/>
            <w:vAlign w:val="bottom"/>
            <w:shd w:val="clear" w:color="auto" w:fill="CCEEFF"/>
          </w:tcPr>
          <w:p>
            <w:pPr>
              <w:spacing w:after="0"/>
              <w:rPr>
                <w:sz w:val="15"/>
                <w:szCs w:val="15"/>
                <w:color w:val="auto"/>
              </w:rPr>
            </w:pPr>
          </w:p>
        </w:tc>
        <w:tc>
          <w:tcPr>
            <w:tcW w:w="4600" w:type="dxa"/>
            <w:vAlign w:val="bottom"/>
            <w:gridSpan w:val="9"/>
            <w:shd w:val="clear" w:color="auto" w:fill="CCEEFF"/>
          </w:tcPr>
          <w:p>
            <w:pPr>
              <w:spacing w:after="0" w:line="182" w:lineRule="exact"/>
              <w:rPr>
                <w:rFonts w:ascii="Arial" w:cs="Arial" w:eastAsia="Arial" w:hAnsi="Arial"/>
                <w:sz w:val="18"/>
                <w:szCs w:val="18"/>
                <w:color w:val="0000FF"/>
                <w:w w:val="99"/>
              </w:rPr>
            </w:pPr>
            <w:hyperlink w:anchor="page186">
              <w:r>
                <w:rPr>
                  <w:rFonts w:ascii="Arial" w:cs="Arial" w:eastAsia="Arial" w:hAnsi="Arial"/>
                  <w:sz w:val="18"/>
                  <w:szCs w:val="18"/>
                  <w:color w:val="0000FF"/>
                  <w:w w:val="99"/>
                </w:rPr>
                <w:t>Exchange Act Rules 13a-14(a) and 15d-14(a), as adopted</w:t>
              </w:r>
            </w:hyperlink>
          </w:p>
        </w:tc>
        <w:tc>
          <w:tcPr>
            <w:tcW w:w="8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20"/>
        </w:trPr>
        <w:tc>
          <w:tcPr>
            <w:tcW w:w="122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r>
      <w:tr>
        <w:trPr>
          <w:trHeight w:val="217"/>
        </w:trPr>
        <w:tc>
          <w:tcPr>
            <w:tcW w:w="1220" w:type="dxa"/>
            <w:vAlign w:val="bottom"/>
            <w:shd w:val="clear" w:color="auto" w:fill="CCEEFF"/>
          </w:tcPr>
          <w:p>
            <w:pPr>
              <w:spacing w:after="0"/>
              <w:rPr>
                <w:sz w:val="18"/>
                <w:szCs w:val="18"/>
                <w:color w:val="auto"/>
              </w:rPr>
            </w:pPr>
          </w:p>
        </w:tc>
        <w:tc>
          <w:tcPr>
            <w:tcW w:w="4600" w:type="dxa"/>
            <w:vAlign w:val="bottom"/>
            <w:gridSpan w:val="9"/>
            <w:shd w:val="clear" w:color="auto" w:fill="CCEEFF"/>
          </w:tcPr>
          <w:p>
            <w:pPr>
              <w:spacing w:after="0" w:line="182" w:lineRule="exact"/>
              <w:rPr>
                <w:rFonts w:ascii="Arial" w:cs="Arial" w:eastAsia="Arial" w:hAnsi="Arial"/>
                <w:sz w:val="18"/>
                <w:szCs w:val="18"/>
                <w:color w:val="0000FF"/>
                <w:w w:val="96"/>
              </w:rPr>
            </w:pPr>
            <w:hyperlink w:anchor="page186">
              <w:r>
                <w:rPr>
                  <w:rFonts w:ascii="Arial" w:cs="Arial" w:eastAsia="Arial" w:hAnsi="Arial"/>
                  <w:sz w:val="18"/>
                  <w:szCs w:val="18"/>
                  <w:color w:val="0000FF"/>
                  <w:w w:val="96"/>
                </w:rPr>
                <w:t>pursuant to Section 302 of the Sarbanes-Oxley Act of 2002.</w:t>
              </w:r>
            </w:hyperlink>
          </w:p>
        </w:tc>
        <w:tc>
          <w:tcPr>
            <w:tcW w:w="8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r>
      <w:tr>
        <w:trPr>
          <w:trHeight w:val="203"/>
        </w:trPr>
        <w:tc>
          <w:tcPr>
            <w:tcW w:w="1220" w:type="dxa"/>
            <w:vAlign w:val="bottom"/>
            <w:tcBorders>
              <w:top w:val="single" w:sz="8" w:color="CCEEFF"/>
            </w:tcBorders>
          </w:tcPr>
          <w:p>
            <w:pPr>
              <w:ind w:left="20"/>
              <w:spacing w:after="0" w:line="202" w:lineRule="exact"/>
              <w:rPr>
                <w:sz w:val="20"/>
                <w:szCs w:val="20"/>
                <w:color w:val="auto"/>
              </w:rPr>
            </w:pPr>
            <w:r>
              <w:rPr>
                <w:rFonts w:ascii="Arial" w:cs="Arial" w:eastAsia="Arial" w:hAnsi="Arial"/>
                <w:sz w:val="18"/>
                <w:szCs w:val="18"/>
                <w:color w:val="auto"/>
              </w:rPr>
              <w:t>31.2*</w:t>
            </w:r>
          </w:p>
        </w:tc>
        <w:tc>
          <w:tcPr>
            <w:tcW w:w="4020" w:type="dxa"/>
            <w:vAlign w:val="bottom"/>
            <w:tcBorders>
              <w:top w:val="single" w:sz="8" w:color="0000FF"/>
              <w:bottom w:val="single" w:sz="8" w:color="0000FF"/>
            </w:tcBorders>
            <w:gridSpan w:val="4"/>
          </w:tcPr>
          <w:p>
            <w:pPr>
              <w:spacing w:after="0" w:line="202" w:lineRule="exact"/>
              <w:rPr>
                <w:rFonts w:ascii="Arial" w:cs="Arial" w:eastAsia="Arial" w:hAnsi="Arial"/>
                <w:sz w:val="18"/>
                <w:szCs w:val="18"/>
                <w:color w:val="0000FF"/>
                <w:w w:val="94"/>
              </w:rPr>
            </w:pPr>
            <w:hyperlink w:anchor="page188">
              <w:r>
                <w:rPr>
                  <w:rFonts w:ascii="Arial" w:cs="Arial" w:eastAsia="Arial" w:hAnsi="Arial"/>
                  <w:sz w:val="18"/>
                  <w:szCs w:val="18"/>
                  <w:color w:val="0000FF"/>
                  <w:w w:val="94"/>
                </w:rPr>
                <w:t>Certification of Principal Financial Officer pursuant to</w:t>
              </w:r>
            </w:hyperlink>
          </w:p>
        </w:tc>
        <w:tc>
          <w:tcPr>
            <w:tcW w:w="280" w:type="dxa"/>
            <w:vAlign w:val="bottom"/>
            <w:tcBorders>
              <w:top w:val="single" w:sz="8" w:color="0000FF"/>
            </w:tcBorders>
            <w:gridSpan w:val="3"/>
          </w:tcPr>
          <w:p>
            <w:pPr>
              <w:spacing w:after="0"/>
              <w:rPr>
                <w:sz w:val="17"/>
                <w:szCs w:val="17"/>
                <w:color w:val="auto"/>
              </w:rPr>
            </w:pPr>
          </w:p>
        </w:tc>
        <w:tc>
          <w:tcPr>
            <w:tcW w:w="300" w:type="dxa"/>
            <w:vAlign w:val="bottom"/>
            <w:tcBorders>
              <w:top w:val="single" w:sz="8" w:color="CCEEFF"/>
            </w:tcBorders>
            <w:gridSpan w:val="2"/>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r>
      <w:tr>
        <w:trPr>
          <w:trHeight w:val="183"/>
        </w:trPr>
        <w:tc>
          <w:tcPr>
            <w:tcW w:w="1220" w:type="dxa"/>
            <w:vAlign w:val="bottom"/>
          </w:tcPr>
          <w:p>
            <w:pPr>
              <w:spacing w:after="0"/>
              <w:rPr>
                <w:sz w:val="15"/>
                <w:szCs w:val="15"/>
                <w:color w:val="auto"/>
              </w:rPr>
            </w:pPr>
          </w:p>
        </w:tc>
        <w:tc>
          <w:tcPr>
            <w:tcW w:w="4600" w:type="dxa"/>
            <w:vAlign w:val="bottom"/>
            <w:gridSpan w:val="9"/>
          </w:tcPr>
          <w:p>
            <w:pPr>
              <w:spacing w:after="0" w:line="182" w:lineRule="exact"/>
              <w:rPr>
                <w:rFonts w:ascii="Arial" w:cs="Arial" w:eastAsia="Arial" w:hAnsi="Arial"/>
                <w:sz w:val="18"/>
                <w:szCs w:val="18"/>
                <w:color w:val="0000FF"/>
                <w:w w:val="99"/>
              </w:rPr>
            </w:pPr>
            <w:hyperlink w:anchor="page188">
              <w:r>
                <w:rPr>
                  <w:rFonts w:ascii="Arial" w:cs="Arial" w:eastAsia="Arial" w:hAnsi="Arial"/>
                  <w:sz w:val="18"/>
                  <w:szCs w:val="18"/>
                  <w:color w:val="0000FF"/>
                  <w:w w:val="99"/>
                </w:rPr>
                <w:t>Exchange Act Rules 13a-14(a) and 15d-14(a), as adopted</w:t>
              </w:r>
            </w:hyperlink>
          </w:p>
        </w:tc>
        <w:tc>
          <w:tcPr>
            <w:tcW w:w="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4600" w:type="dxa"/>
            <w:vAlign w:val="bottom"/>
            <w:gridSpan w:val="9"/>
          </w:tcPr>
          <w:p>
            <w:pPr>
              <w:spacing w:after="0" w:line="182" w:lineRule="exact"/>
              <w:rPr>
                <w:rFonts w:ascii="Arial" w:cs="Arial" w:eastAsia="Arial" w:hAnsi="Arial"/>
                <w:sz w:val="18"/>
                <w:szCs w:val="18"/>
                <w:color w:val="0000FF"/>
                <w:w w:val="96"/>
              </w:rPr>
            </w:pPr>
            <w:hyperlink w:anchor="page188">
              <w:r>
                <w:rPr>
                  <w:rFonts w:ascii="Arial" w:cs="Arial" w:eastAsia="Arial" w:hAnsi="Arial"/>
                  <w:sz w:val="18"/>
                  <w:szCs w:val="18"/>
                  <w:color w:val="0000FF"/>
                  <w:w w:val="96"/>
                </w:rPr>
                <w:t>pursuant to Section 302 of the Sarbanes-Oxley Act of 2002.</w:t>
              </w:r>
            </w:hyperlink>
          </w:p>
        </w:tc>
        <w:tc>
          <w:tcPr>
            <w:tcW w:w="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4"/>
        </w:trPr>
        <w:tc>
          <w:tcPr>
            <w:tcW w:w="122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189"/>
        </w:trPr>
        <w:tc>
          <w:tcPr>
            <w:tcW w:w="12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4600" w:type="dxa"/>
            <w:vAlign w:val="bottom"/>
            <w:gridSpan w:val="9"/>
            <w:shd w:val="clear" w:color="auto" w:fill="CCEEFF"/>
          </w:tcPr>
          <w:p>
            <w:pPr>
              <w:spacing w:after="0" w:line="189" w:lineRule="exact"/>
              <w:rPr>
                <w:rFonts w:ascii="Arial" w:cs="Arial" w:eastAsia="Arial" w:hAnsi="Arial"/>
                <w:sz w:val="18"/>
                <w:szCs w:val="18"/>
                <w:color w:val="0000FF"/>
              </w:rPr>
            </w:pPr>
            <w:hyperlink w:anchor="page190">
              <w:r>
                <w:rPr>
                  <w:rFonts w:ascii="Arial" w:cs="Arial" w:eastAsia="Arial" w:hAnsi="Arial"/>
                  <w:sz w:val="18"/>
                  <w:szCs w:val="18"/>
                  <w:color w:val="0000FF"/>
                </w:rPr>
                <w:t>Certifications of Principal Executive Officer and Principal</w:t>
              </w:r>
            </w:hyperlink>
          </w:p>
        </w:tc>
        <w:tc>
          <w:tcPr>
            <w:tcW w:w="8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4120" w:type="dxa"/>
            <w:vAlign w:val="bottom"/>
            <w:tcBorders>
              <w:top w:val="single" w:sz="8" w:color="0000FF"/>
            </w:tcBorders>
            <w:gridSpan w:val="5"/>
            <w:shd w:val="clear" w:color="auto" w:fill="CCEEFF"/>
          </w:tcPr>
          <w:p>
            <w:pPr>
              <w:spacing w:after="0" w:line="156" w:lineRule="exact"/>
              <w:rPr>
                <w:rFonts w:ascii="Arial" w:cs="Arial" w:eastAsia="Arial" w:hAnsi="Arial"/>
                <w:sz w:val="18"/>
                <w:szCs w:val="18"/>
                <w:color w:val="0000FF"/>
                <w:w w:val="92"/>
              </w:rPr>
            </w:pPr>
            <w:hyperlink w:anchor="page190">
              <w:r>
                <w:rPr>
                  <w:rFonts w:ascii="Arial" w:cs="Arial" w:eastAsia="Arial" w:hAnsi="Arial"/>
                  <w:sz w:val="18"/>
                  <w:szCs w:val="18"/>
                  <w:color w:val="0000FF"/>
                  <w:w w:val="92"/>
                </w:rPr>
                <w:t>Financial Officer pursuant to 18 U.S.C. Section 1350 as</w:t>
              </w:r>
            </w:hyperlink>
          </w:p>
        </w:tc>
        <w:tc>
          <w:tcPr>
            <w:tcW w:w="160" w:type="dxa"/>
            <w:vAlign w:val="bottom"/>
            <w:tcBorders>
              <w:top w:val="single" w:sz="8" w:color="CCEEFF"/>
              <w:left w:val="single" w:sz="8" w:color="CCEEFF"/>
            </w:tcBorders>
            <w:shd w:val="clear" w:color="auto" w:fill="CCEEFF"/>
          </w:tcPr>
          <w:p>
            <w:pPr>
              <w:spacing w:after="0"/>
              <w:rPr>
                <w:sz w:val="13"/>
                <w:szCs w:val="13"/>
                <w:color w:val="auto"/>
              </w:rPr>
            </w:pPr>
          </w:p>
        </w:tc>
        <w:tc>
          <w:tcPr>
            <w:tcW w:w="320" w:type="dxa"/>
            <w:vAlign w:val="bottom"/>
            <w:tcBorders>
              <w:top w:val="single" w:sz="8" w:color="CCEEFF"/>
            </w:tcBorders>
            <w:gridSpan w:val="3"/>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CCEEFF"/>
            </w:tcBorders>
            <w:shd w:val="clear" w:color="auto" w:fill="CCEEFF"/>
          </w:tcPr>
          <w:p>
            <w:pPr>
              <w:spacing w:after="0"/>
              <w:rPr>
                <w:sz w:val="13"/>
                <w:szCs w:val="13"/>
                <w:color w:val="auto"/>
              </w:rPr>
            </w:pPr>
          </w:p>
        </w:tc>
      </w:tr>
      <w:tr>
        <w:trPr>
          <w:trHeight w:val="155"/>
        </w:trPr>
        <w:tc>
          <w:tcPr>
            <w:tcW w:w="122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0000FF"/>
              <w:right w:val="single" w:sz="8" w:color="CCEEFF"/>
            </w:tcBorders>
            <w:gridSpan w:val="4"/>
            <w:shd w:val="clear" w:color="auto" w:fill="CCEEFF"/>
          </w:tcPr>
          <w:p>
            <w:pPr>
              <w:spacing w:after="0" w:line="156" w:lineRule="exact"/>
              <w:rPr>
                <w:rFonts w:ascii="Arial" w:cs="Arial" w:eastAsia="Arial" w:hAnsi="Arial"/>
                <w:sz w:val="18"/>
                <w:szCs w:val="18"/>
                <w:color w:val="0000FF"/>
                <w:w w:val="89"/>
              </w:rPr>
            </w:pPr>
            <w:hyperlink w:anchor="page190">
              <w:r>
                <w:rPr>
                  <w:rFonts w:ascii="Arial" w:cs="Arial" w:eastAsia="Arial" w:hAnsi="Arial"/>
                  <w:sz w:val="18"/>
                  <w:szCs w:val="18"/>
                  <w:color w:val="0000FF"/>
                  <w:w w:val="89"/>
                </w:rPr>
                <w:t>adopted pursuant to Section 906 of the Sarbanes-Oxley</w:t>
              </w:r>
            </w:hyperlink>
          </w:p>
        </w:tc>
        <w:tc>
          <w:tcPr>
            <w:tcW w:w="580" w:type="dxa"/>
            <w:vAlign w:val="bottom"/>
            <w:tcBorders>
              <w:top w:val="single" w:sz="8" w:color="CCEEFF"/>
            </w:tcBorders>
            <w:gridSpan w:val="5"/>
            <w:shd w:val="clear" w:color="auto" w:fill="CCEEFF"/>
          </w:tcPr>
          <w:p>
            <w:pPr>
              <w:spacing w:after="0" w:line="156" w:lineRule="exact"/>
              <w:rPr>
                <w:rFonts w:ascii="Arial" w:cs="Arial" w:eastAsia="Arial" w:hAnsi="Arial"/>
                <w:sz w:val="18"/>
                <w:szCs w:val="18"/>
                <w:color w:val="0000FF"/>
              </w:rPr>
            </w:pPr>
            <w:hyperlink w:anchor="page190">
              <w:r>
                <w:rPr>
                  <w:rFonts w:ascii="Arial" w:cs="Arial" w:eastAsia="Arial" w:hAnsi="Arial"/>
                  <w:sz w:val="18"/>
                  <w:szCs w:val="18"/>
                  <w:color w:val="0000FF"/>
                </w:rPr>
                <w:t>Act</w:t>
              </w:r>
            </w:hyperlink>
          </w:p>
        </w:tc>
        <w:tc>
          <w:tcPr>
            <w:tcW w:w="84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CCEEFF"/>
            </w:tcBorders>
            <w:shd w:val="clear" w:color="auto" w:fill="CCEEFF"/>
          </w:tcPr>
          <w:p>
            <w:pPr>
              <w:spacing w:after="0"/>
              <w:rPr>
                <w:sz w:val="13"/>
                <w:szCs w:val="13"/>
                <w:color w:val="auto"/>
              </w:rPr>
            </w:pPr>
          </w:p>
        </w:tc>
      </w:tr>
      <w:tr>
        <w:trPr>
          <w:trHeight w:val="176"/>
        </w:trPr>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9"/>
              </w:rPr>
            </w:pPr>
            <w:hyperlink w:anchor="page190">
              <w:r>
                <w:rPr>
                  <w:rFonts w:ascii="Arial" w:cs="Arial" w:eastAsia="Arial" w:hAnsi="Arial"/>
                  <w:sz w:val="18"/>
                  <w:szCs w:val="18"/>
                  <w:color w:val="0000FF"/>
                  <w:w w:val="89"/>
                </w:rPr>
                <w:t>of 2002.</w:t>
              </w:r>
            </w:hyperlink>
          </w:p>
        </w:tc>
        <w:tc>
          <w:tcPr>
            <w:tcW w:w="3680" w:type="dxa"/>
            <w:vAlign w:val="bottom"/>
            <w:tcBorders>
              <w:top w:val="single" w:sz="8" w:color="0000FF"/>
              <w:bottom w:val="single" w:sz="8" w:color="CCEEFF"/>
            </w:tcBorders>
            <w:gridSpan w:val="5"/>
            <w:shd w:val="clear" w:color="auto" w:fill="CCEEFF"/>
          </w:tcPr>
          <w:p>
            <w:pPr>
              <w:spacing w:after="0"/>
              <w:rPr>
                <w:sz w:val="15"/>
                <w:szCs w:val="15"/>
                <w:color w:val="auto"/>
              </w:rPr>
            </w:pPr>
          </w:p>
        </w:tc>
        <w:tc>
          <w:tcPr>
            <w:tcW w:w="32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20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30"/>
        </w:trPr>
        <w:tc>
          <w:tcPr>
            <w:tcW w:w="1220" w:type="dxa"/>
            <w:vAlign w:val="bottom"/>
          </w:tcPr>
          <w:p>
            <w:pPr>
              <w:ind w:left="20"/>
              <w:spacing w:after="0"/>
              <w:rPr>
                <w:sz w:val="20"/>
                <w:szCs w:val="20"/>
                <w:color w:val="auto"/>
              </w:rPr>
            </w:pPr>
            <w:r>
              <w:rPr>
                <w:rFonts w:ascii="Arial" w:cs="Arial" w:eastAsia="Arial" w:hAnsi="Arial"/>
                <w:sz w:val="18"/>
                <w:szCs w:val="18"/>
                <w:color w:val="auto"/>
              </w:rPr>
              <w:t>101.INS*</w:t>
            </w:r>
          </w:p>
        </w:tc>
        <w:tc>
          <w:tcPr>
            <w:tcW w:w="460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46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8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175"/>
        </w:trPr>
        <w:tc>
          <w:tcPr>
            <w:tcW w:w="1220" w:type="dxa"/>
            <w:vAlign w:val="bottom"/>
          </w:tcPr>
          <w:p>
            <w:pPr>
              <w:ind w:left="20"/>
              <w:spacing w:after="0" w:line="176" w:lineRule="exact"/>
              <w:rPr>
                <w:sz w:val="20"/>
                <w:szCs w:val="20"/>
                <w:color w:val="auto"/>
              </w:rPr>
            </w:pPr>
            <w:r>
              <w:rPr>
                <w:rFonts w:ascii="Arial" w:cs="Arial" w:eastAsia="Arial" w:hAnsi="Arial"/>
                <w:sz w:val="18"/>
                <w:szCs w:val="18"/>
                <w:color w:val="auto"/>
              </w:rPr>
              <w:t>101.CAL*</w:t>
            </w:r>
          </w:p>
        </w:tc>
        <w:tc>
          <w:tcPr>
            <w:tcW w:w="4600" w:type="dxa"/>
            <w:vAlign w:val="bottom"/>
            <w:gridSpan w:val="9"/>
          </w:tcPr>
          <w:p>
            <w:pPr>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30"/>
        </w:trPr>
        <w:tc>
          <w:tcPr>
            <w:tcW w:w="1220" w:type="dxa"/>
            <w:vAlign w:val="bottom"/>
          </w:tcPr>
          <w:p>
            <w:pPr>
              <w:spacing w:after="0"/>
              <w:rPr>
                <w:sz w:val="19"/>
                <w:szCs w:val="19"/>
                <w:color w:val="auto"/>
              </w:rPr>
            </w:pPr>
          </w:p>
        </w:tc>
        <w:tc>
          <w:tcPr>
            <w:tcW w:w="460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175"/>
        </w:trPr>
        <w:tc>
          <w:tcPr>
            <w:tcW w:w="1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101.DEF*</w:t>
            </w:r>
          </w:p>
        </w:tc>
        <w:tc>
          <w:tcPr>
            <w:tcW w:w="46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Definition Linkbase</w:t>
            </w:r>
          </w:p>
        </w:tc>
        <w:tc>
          <w:tcPr>
            <w:tcW w:w="8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230"/>
        </w:trPr>
        <w:tc>
          <w:tcPr>
            <w:tcW w:w="1220" w:type="dxa"/>
            <w:vAlign w:val="bottom"/>
            <w:shd w:val="clear" w:color="auto" w:fill="CCEEFF"/>
          </w:tcPr>
          <w:p>
            <w:pPr>
              <w:spacing w:after="0"/>
              <w:rPr>
                <w:sz w:val="19"/>
                <w:szCs w:val="19"/>
                <w:color w:val="auto"/>
              </w:rPr>
            </w:pPr>
          </w:p>
        </w:tc>
        <w:tc>
          <w:tcPr>
            <w:tcW w:w="46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Document</w:t>
            </w:r>
          </w:p>
        </w:tc>
        <w:tc>
          <w:tcPr>
            <w:tcW w:w="8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175"/>
        </w:trPr>
        <w:tc>
          <w:tcPr>
            <w:tcW w:w="1220" w:type="dxa"/>
            <w:vAlign w:val="bottom"/>
          </w:tcPr>
          <w:p>
            <w:pPr>
              <w:ind w:left="20"/>
              <w:spacing w:after="0" w:line="176" w:lineRule="exact"/>
              <w:rPr>
                <w:sz w:val="20"/>
                <w:szCs w:val="20"/>
                <w:color w:val="auto"/>
              </w:rPr>
            </w:pPr>
            <w:r>
              <w:rPr>
                <w:rFonts w:ascii="Arial" w:cs="Arial" w:eastAsia="Arial" w:hAnsi="Arial"/>
                <w:sz w:val="18"/>
                <w:szCs w:val="18"/>
                <w:color w:val="auto"/>
              </w:rPr>
              <w:t>101.LAB*</w:t>
            </w:r>
          </w:p>
        </w:tc>
        <w:tc>
          <w:tcPr>
            <w:tcW w:w="4600" w:type="dxa"/>
            <w:vAlign w:val="bottom"/>
            <w:gridSpan w:val="9"/>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30"/>
        </w:trPr>
        <w:tc>
          <w:tcPr>
            <w:tcW w:w="1220" w:type="dxa"/>
            <w:vAlign w:val="bottom"/>
          </w:tcPr>
          <w:p>
            <w:pPr>
              <w:spacing w:after="0"/>
              <w:rPr>
                <w:sz w:val="19"/>
                <w:szCs w:val="19"/>
                <w:color w:val="auto"/>
              </w:rPr>
            </w:pPr>
          </w:p>
        </w:tc>
        <w:tc>
          <w:tcPr>
            <w:tcW w:w="460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175"/>
        </w:trPr>
        <w:tc>
          <w:tcPr>
            <w:tcW w:w="1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101.PRE*</w:t>
            </w:r>
          </w:p>
        </w:tc>
        <w:tc>
          <w:tcPr>
            <w:tcW w:w="46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Presentation Linkbase</w:t>
            </w:r>
          </w:p>
        </w:tc>
        <w:tc>
          <w:tcPr>
            <w:tcW w:w="8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229"/>
        </w:trPr>
        <w:tc>
          <w:tcPr>
            <w:tcW w:w="1220" w:type="dxa"/>
            <w:vAlign w:val="bottom"/>
            <w:shd w:val="clear" w:color="auto" w:fill="CCEEFF"/>
          </w:tcPr>
          <w:p>
            <w:pPr>
              <w:spacing w:after="0"/>
              <w:rPr>
                <w:sz w:val="19"/>
                <w:szCs w:val="19"/>
                <w:color w:val="auto"/>
              </w:rPr>
            </w:pPr>
          </w:p>
        </w:tc>
        <w:tc>
          <w:tcPr>
            <w:tcW w:w="46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Document</w:t>
            </w:r>
          </w:p>
        </w:tc>
        <w:tc>
          <w:tcPr>
            <w:tcW w:w="8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212529"/>
        </w:rPr>
        <w:t>—————</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212529"/>
        </w:rPr>
        <w:t>*</w:t>
      </w:r>
      <w:r>
        <w:rPr>
          <w:sz w:val="20"/>
          <w:szCs w:val="20"/>
          <w:color w:val="auto"/>
        </w:rPr>
        <w:tab/>
      </w:r>
      <w:r>
        <w:rPr>
          <w:rFonts w:ascii="Arial" w:cs="Arial" w:eastAsia="Arial" w:hAnsi="Arial"/>
          <w:sz w:val="16"/>
          <w:szCs w:val="16"/>
          <w:color w:val="212529"/>
        </w:rPr>
        <w:t>Filed herewith.</w:t>
      </w:r>
    </w:p>
    <w:p>
      <w:pPr>
        <w:spacing w:after="0" w:line="9" w:lineRule="exact"/>
        <w:rPr>
          <w:sz w:val="20"/>
          <w:szCs w:val="20"/>
          <w:color w:val="auto"/>
        </w:rPr>
      </w:pPr>
    </w:p>
    <w:p>
      <w:pPr>
        <w:ind w:left="280" w:hanging="272"/>
        <w:spacing w:after="0"/>
        <w:tabs>
          <w:tab w:leader="none" w:pos="280" w:val="left"/>
        </w:tabs>
        <w:numPr>
          <w:ilvl w:val="0"/>
          <w:numId w:val="64"/>
        </w:numPr>
        <w:rPr>
          <w:rFonts w:ascii="Arial" w:cs="Arial" w:eastAsia="Arial" w:hAnsi="Arial"/>
          <w:sz w:val="18"/>
          <w:szCs w:val="18"/>
          <w:color w:val="212529"/>
        </w:rPr>
      </w:pPr>
      <w:r>
        <w:rPr>
          <w:rFonts w:ascii="Arial" w:cs="Arial" w:eastAsia="Arial" w:hAnsi="Arial"/>
          <w:sz w:val="18"/>
          <w:szCs w:val="18"/>
          <w:color w:val="212529"/>
        </w:rPr>
        <w:t>Indicates management contract or compensatory plan.</w:t>
      </w:r>
    </w:p>
    <w:p>
      <w:pPr>
        <w:spacing w:after="0" w:line="9" w:lineRule="exact"/>
        <w:rPr>
          <w:sz w:val="20"/>
          <w:szCs w:val="20"/>
          <w:color w:val="auto"/>
        </w:rPr>
      </w:pPr>
    </w:p>
    <w:p>
      <w:pPr>
        <w:ind w:left="660" w:right="360" w:hanging="652"/>
        <w:spacing w:after="0" w:line="260" w:lineRule="auto"/>
        <w:tabs>
          <w:tab w:leader="none" w:pos="276" w:val="left"/>
        </w:tabs>
        <w:numPr>
          <w:ilvl w:val="0"/>
          <w:numId w:val="65"/>
        </w:numPr>
        <w:rPr>
          <w:rFonts w:ascii="Arial" w:cs="Arial" w:eastAsia="Arial" w:hAnsi="Arial"/>
          <w:sz w:val="18"/>
          <w:szCs w:val="18"/>
          <w:color w:val="212529"/>
        </w:rPr>
      </w:pPr>
      <w:r>
        <w:rPr>
          <w:rFonts w:ascii="Arial" w:cs="Arial" w:eastAsia="Arial" w:hAnsi="Arial"/>
          <w:sz w:val="18"/>
          <w:szCs w:val="18"/>
          <w:color w:val="auto"/>
        </w:rPr>
        <w:t>Portions of this exhibit (indicated by asterisk) have been excluded because such information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2" w:name="page163"/>
    <w:bookmarkEnd w:id="162"/>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63" w:name="page164"/>
    <w:bookmarkEnd w:id="163"/>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2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February 17, 2022</w:t>
      </w:r>
    </w:p>
    <w:p>
      <w:pPr>
        <w:spacing w:after="0" w:line="266"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Upstart Holdings, Inc</w:t>
      </w:r>
    </w:p>
    <w:p>
      <w:pPr>
        <w:spacing w:after="0" w:line="283" w:lineRule="exact"/>
        <w:rPr>
          <w:sz w:val="20"/>
          <w:szCs w:val="20"/>
          <w:color w:val="auto"/>
        </w:rPr>
      </w:pPr>
    </w:p>
    <w:p>
      <w:pPr>
        <w:ind w:left="5920"/>
        <w:spacing w:after="0"/>
        <w:tabs>
          <w:tab w:leader="none" w:pos="6420" w:val="left"/>
        </w:tabs>
        <w:rPr>
          <w:sz w:val="20"/>
          <w:szCs w:val="20"/>
          <w:color w:val="auto"/>
        </w:rPr>
      </w:pPr>
      <w:r>
        <w:rPr>
          <w:rFonts w:ascii="Arial" w:cs="Arial" w:eastAsia="Arial" w:hAnsi="Arial"/>
          <w:sz w:val="18"/>
          <w:szCs w:val="18"/>
          <w:color w:val="auto"/>
        </w:rPr>
        <w:t>By:</w:t>
        <w:tab/>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Dave Girouard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Executive Officer)</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Dave Girouard, Sanjay Datta and Alison Nicoll,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by the following persons on behalf of the registrant and in the capacities and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220" w:type="dxa"/>
            <w:vAlign w:val="bottom"/>
            <w:gridSpan w:val="3"/>
          </w:tcPr>
          <w:p>
            <w:pPr>
              <w:ind w:left="1980"/>
              <w:spacing w:after="0"/>
              <w:rPr>
                <w:sz w:val="20"/>
                <w:szCs w:val="20"/>
                <w:color w:val="auto"/>
              </w:rPr>
            </w:pPr>
            <w:r>
              <w:rPr>
                <w:rFonts w:ascii="Arial" w:cs="Arial" w:eastAsia="Arial" w:hAnsi="Arial"/>
                <w:sz w:val="18"/>
                <w:szCs w:val="18"/>
                <w:b w:val="1"/>
                <w:bCs w:val="1"/>
                <w:color w:val="auto"/>
              </w:rPr>
              <w:t>Title</w:t>
            </w:r>
          </w:p>
        </w:tc>
        <w:tc>
          <w:tcPr>
            <w:tcW w:w="3300" w:type="dxa"/>
            <w:vAlign w:val="bottom"/>
            <w:gridSpan w:val="3"/>
          </w:tcPr>
          <w:p>
            <w:pPr>
              <w:ind w:left="1520"/>
              <w:spacing w:after="0"/>
              <w:rPr>
                <w:sz w:val="20"/>
                <w:szCs w:val="20"/>
                <w:color w:val="auto"/>
              </w:rPr>
            </w:pPr>
            <w:r>
              <w:rPr>
                <w:rFonts w:ascii="Arial" w:cs="Arial" w:eastAsia="Arial" w:hAnsi="Arial"/>
                <w:sz w:val="18"/>
                <w:szCs w:val="18"/>
                <w:b w:val="1"/>
                <w:bCs w:val="1"/>
                <w:color w:val="auto"/>
              </w:rPr>
              <w:t>Date</w:t>
            </w:r>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0"/>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Dave Girouard</w:t>
            </w:r>
          </w:p>
        </w:tc>
        <w:tc>
          <w:tcPr>
            <w:tcW w:w="7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220" w:type="dxa"/>
            <w:vAlign w:val="bottom"/>
            <w:gridSpan w:val="3"/>
          </w:tcPr>
          <w:p>
            <w:pPr>
              <w:ind w:left="20"/>
              <w:spacing w:after="0"/>
              <w:rPr>
                <w:sz w:val="20"/>
                <w:szCs w:val="20"/>
                <w:color w:val="auto"/>
              </w:rPr>
            </w:pPr>
            <w:r>
              <w:rPr>
                <w:rFonts w:ascii="Arial" w:cs="Arial" w:eastAsia="Arial" w:hAnsi="Arial"/>
                <w:sz w:val="18"/>
                <w:szCs w:val="18"/>
                <w:color w:val="auto"/>
              </w:rPr>
              <w:t>Chief Executive Officer and Director</w:t>
            </w:r>
          </w:p>
        </w:tc>
        <w:tc>
          <w:tcPr>
            <w:tcW w:w="1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17, 2022</w:t>
            </w: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Dave Girouard</w:t>
            </w:r>
          </w:p>
        </w:tc>
        <w:tc>
          <w:tcPr>
            <w:tcW w:w="4220" w:type="dxa"/>
            <w:vAlign w:val="bottom"/>
            <w:gridSpan w:val="3"/>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85"/>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Sanjay Datta</w:t>
            </w:r>
          </w:p>
        </w:tc>
        <w:tc>
          <w:tcPr>
            <w:tcW w:w="4220" w:type="dxa"/>
            <w:vAlign w:val="bottom"/>
            <w:gridSpan w:val="3"/>
          </w:tcPr>
          <w:p>
            <w:pPr>
              <w:ind w:left="20"/>
              <w:spacing w:after="0"/>
              <w:rPr>
                <w:sz w:val="20"/>
                <w:szCs w:val="20"/>
                <w:color w:val="auto"/>
              </w:rPr>
            </w:pPr>
            <w:r>
              <w:rPr>
                <w:rFonts w:ascii="Arial" w:cs="Arial" w:eastAsia="Arial" w:hAnsi="Arial"/>
                <w:sz w:val="18"/>
                <w:szCs w:val="18"/>
                <w:color w:val="auto"/>
              </w:rPr>
              <w:t>Chief Financial Officer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17, 2022</w:t>
            </w: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Sanjay Datta</w:t>
            </w:r>
          </w:p>
        </w:tc>
        <w:tc>
          <w:tcPr>
            <w:tcW w:w="4220" w:type="dxa"/>
            <w:vAlign w:val="bottom"/>
            <w:gridSpan w:val="3"/>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99"/>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Natalia Mirgorodskaya</w:t>
            </w:r>
          </w:p>
        </w:tc>
        <w:tc>
          <w:tcPr>
            <w:tcW w:w="4220" w:type="dxa"/>
            <w:vAlign w:val="bottom"/>
            <w:gridSpan w:val="3"/>
          </w:tcPr>
          <w:p>
            <w:pPr>
              <w:ind w:left="20"/>
              <w:spacing w:after="0"/>
              <w:rPr>
                <w:sz w:val="20"/>
                <w:szCs w:val="20"/>
                <w:color w:val="auto"/>
              </w:rPr>
            </w:pPr>
            <w:r>
              <w:rPr>
                <w:rFonts w:ascii="Arial" w:cs="Arial" w:eastAsia="Arial" w:hAnsi="Arial"/>
                <w:sz w:val="18"/>
                <w:szCs w:val="18"/>
                <w:color w:val="auto"/>
              </w:rPr>
              <w:t>Corporate Controller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17, 2022</w:t>
            </w: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Natalia Mirgorodskaya</w:t>
            </w:r>
          </w:p>
        </w:tc>
        <w:tc>
          <w:tcPr>
            <w:tcW w:w="4220" w:type="dxa"/>
            <w:vAlign w:val="bottom"/>
            <w:gridSpan w:val="3"/>
          </w:tcPr>
          <w:p>
            <w:pPr>
              <w:ind w:left="20"/>
              <w:spacing w:after="0"/>
              <w:rPr>
                <w:sz w:val="20"/>
                <w:szCs w:val="20"/>
                <w:color w:val="auto"/>
              </w:rPr>
            </w:pPr>
            <w:r>
              <w:rPr>
                <w:rFonts w:ascii="Arial" w:cs="Arial" w:eastAsia="Arial" w:hAnsi="Arial"/>
                <w:sz w:val="18"/>
                <w:szCs w:val="18"/>
                <w:i w:val="1"/>
                <w:iCs w:val="1"/>
                <w:color w:val="auto"/>
              </w:rPr>
              <w:t>(Principal Accounting Officer)</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99"/>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Sukhinder Singh Cassidy</w:t>
            </w:r>
          </w:p>
        </w:tc>
        <w:tc>
          <w:tcPr>
            <w:tcW w:w="42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17, 2022</w:t>
            </w: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Sukhinder Singh Cassidy</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99"/>
        </w:trPr>
        <w:tc>
          <w:tcPr>
            <w:tcW w:w="3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Kerry Cooper</w:t>
            </w:r>
          </w:p>
        </w:tc>
        <w:tc>
          <w:tcPr>
            <w:tcW w:w="42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Arial" w:cs="Arial" w:eastAsia="Arial" w:hAnsi="Arial"/>
                <w:sz w:val="18"/>
                <w:szCs w:val="18"/>
                <w:color w:val="auto"/>
                <w:w w:val="88"/>
              </w:rPr>
              <w:t>February 17, 2022</w:t>
            </w:r>
          </w:p>
        </w:tc>
      </w:tr>
      <w:tr>
        <w:trPr>
          <w:trHeight w:val="224"/>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Kerry Cooper</w:t>
            </w: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Gu</w:t>
            </w:r>
          </w:p>
        </w:tc>
        <w:tc>
          <w:tcPr>
            <w:tcW w:w="3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120" w:type="dxa"/>
            <w:vAlign w:val="bottom"/>
          </w:tcPr>
          <w:p>
            <w:pPr>
              <w:ind w:left="2800"/>
              <w:spacing w:after="0"/>
              <w:rPr>
                <w:sz w:val="20"/>
                <w:szCs w:val="20"/>
                <w:color w:val="auto"/>
              </w:rPr>
            </w:pPr>
            <w:r>
              <w:rPr>
                <w:rFonts w:ascii="Arial" w:cs="Arial" w:eastAsia="Arial" w:hAnsi="Arial"/>
                <w:sz w:val="18"/>
                <w:szCs w:val="18"/>
                <w:color w:val="auto"/>
                <w:w w:val="88"/>
              </w:rPr>
              <w:t>February 17, 2022</w:t>
            </w: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Paul Gu</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Mary Hentges</w:t>
            </w:r>
          </w:p>
        </w:tc>
        <w:tc>
          <w:tcPr>
            <w:tcW w:w="3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120" w:type="dxa"/>
            <w:vAlign w:val="bottom"/>
          </w:tcPr>
          <w:p>
            <w:pPr>
              <w:ind w:left="2800"/>
              <w:spacing w:after="0"/>
              <w:rPr>
                <w:sz w:val="20"/>
                <w:szCs w:val="20"/>
                <w:color w:val="auto"/>
              </w:rPr>
            </w:pPr>
            <w:r>
              <w:rPr>
                <w:rFonts w:ascii="Arial" w:cs="Arial" w:eastAsia="Arial" w:hAnsi="Arial"/>
                <w:sz w:val="18"/>
                <w:szCs w:val="18"/>
                <w:color w:val="auto"/>
                <w:w w:val="88"/>
              </w:rPr>
              <w:t>February 17, 2022</w:t>
            </w: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Mary Hentges</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 Huber</w:t>
            </w:r>
          </w:p>
        </w:tc>
        <w:tc>
          <w:tcPr>
            <w:tcW w:w="3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120" w:type="dxa"/>
            <w:vAlign w:val="bottom"/>
          </w:tcPr>
          <w:p>
            <w:pPr>
              <w:ind w:left="2800"/>
              <w:spacing w:after="0"/>
              <w:rPr>
                <w:sz w:val="20"/>
                <w:szCs w:val="20"/>
                <w:color w:val="auto"/>
              </w:rPr>
            </w:pPr>
            <w:r>
              <w:rPr>
                <w:rFonts w:ascii="Arial" w:cs="Arial" w:eastAsia="Arial" w:hAnsi="Arial"/>
                <w:sz w:val="18"/>
                <w:szCs w:val="18"/>
                <w:color w:val="auto"/>
                <w:w w:val="88"/>
              </w:rPr>
              <w:t>February 17, 2022</w:t>
            </w: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Jeff Huber</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Ciaran O’Kelly</w:t>
            </w:r>
          </w:p>
        </w:tc>
        <w:tc>
          <w:tcPr>
            <w:tcW w:w="3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120" w:type="dxa"/>
            <w:vAlign w:val="bottom"/>
          </w:tcPr>
          <w:p>
            <w:pPr>
              <w:ind w:left="2800"/>
              <w:spacing w:after="0"/>
              <w:rPr>
                <w:sz w:val="20"/>
                <w:szCs w:val="20"/>
                <w:color w:val="auto"/>
              </w:rPr>
            </w:pPr>
            <w:r>
              <w:rPr>
                <w:rFonts w:ascii="Arial" w:cs="Arial" w:eastAsia="Arial" w:hAnsi="Arial"/>
                <w:sz w:val="18"/>
                <w:szCs w:val="18"/>
                <w:color w:val="auto"/>
                <w:w w:val="88"/>
              </w:rPr>
              <w:t>February 17, 2022</w:t>
            </w: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Ciaran O’Kelly</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49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Hilliard C. Terry III</w:t>
            </w:r>
          </w:p>
        </w:tc>
        <w:tc>
          <w:tcPr>
            <w:tcW w:w="3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4120" w:type="dxa"/>
            <w:vAlign w:val="bottom"/>
          </w:tcPr>
          <w:p>
            <w:pPr>
              <w:ind w:left="2800"/>
              <w:spacing w:after="0"/>
              <w:rPr>
                <w:sz w:val="20"/>
                <w:szCs w:val="20"/>
                <w:color w:val="auto"/>
              </w:rPr>
            </w:pPr>
            <w:r>
              <w:rPr>
                <w:rFonts w:ascii="Arial" w:cs="Arial" w:eastAsia="Arial" w:hAnsi="Arial"/>
                <w:sz w:val="18"/>
                <w:szCs w:val="18"/>
                <w:color w:val="auto"/>
                <w:w w:val="88"/>
              </w:rPr>
              <w:t>February 17, 2022</w:t>
            </w:r>
          </w:p>
        </w:tc>
      </w:tr>
      <w:tr>
        <w:trPr>
          <w:trHeight w:val="224"/>
        </w:trPr>
        <w:tc>
          <w:tcPr>
            <w:tcW w:w="3700" w:type="dxa"/>
            <w:vAlign w:val="bottom"/>
          </w:tcPr>
          <w:p>
            <w:pPr>
              <w:ind w:left="20"/>
              <w:spacing w:after="0"/>
              <w:rPr>
                <w:sz w:val="20"/>
                <w:szCs w:val="20"/>
                <w:color w:val="auto"/>
              </w:rPr>
            </w:pPr>
            <w:r>
              <w:rPr>
                <w:rFonts w:ascii="Arial" w:cs="Arial" w:eastAsia="Arial" w:hAnsi="Arial"/>
                <w:sz w:val="18"/>
                <w:szCs w:val="18"/>
                <w:color w:val="auto"/>
              </w:rPr>
              <w:t>Hilliard C. Terry III</w:t>
            </w:r>
          </w:p>
        </w:tc>
        <w:tc>
          <w:tcPr>
            <w:tcW w:w="3400" w:type="dxa"/>
            <w:vAlign w:val="bottom"/>
          </w:tcPr>
          <w:p>
            <w:pPr>
              <w:spacing w:after="0"/>
              <w:rPr>
                <w:sz w:val="19"/>
                <w:szCs w:val="19"/>
                <w:color w:val="auto"/>
              </w:rPr>
            </w:pPr>
          </w:p>
        </w:tc>
        <w:tc>
          <w:tcPr>
            <w:tcW w:w="4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320" w:top="1440" w:right="359" w:bottom="1440" w:gutter="0" w:footer="0" w:header="0"/>
        </w:sectPr>
      </w:pPr>
    </w:p>
    <w:bookmarkStart w:id="165" w:name="page166"/>
    <w:bookmarkEnd w:id="165"/>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3.1</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CERTIFICATE OF INCORPORATION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UPSTART HOLDINGS,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 Delaware corporation</w:t>
      </w:r>
    </w:p>
    <w:p>
      <w:pPr>
        <w:spacing w:after="0" w:line="49" w:lineRule="exact"/>
        <w:rPr>
          <w:sz w:val="20"/>
          <w:szCs w:val="20"/>
          <w:color w:val="auto"/>
        </w:rPr>
      </w:pPr>
    </w:p>
    <w:p>
      <w:pPr>
        <w:ind w:firstLine="648"/>
        <w:spacing w:after="0" w:line="259" w:lineRule="auto"/>
        <w:rPr>
          <w:sz w:val="20"/>
          <w:szCs w:val="20"/>
          <w:color w:val="auto"/>
        </w:rPr>
      </w:pPr>
      <w:r>
        <w:rPr>
          <w:rFonts w:ascii="Arial" w:cs="Arial" w:eastAsia="Arial" w:hAnsi="Arial"/>
          <w:sz w:val="20"/>
          <w:szCs w:val="20"/>
          <w:color w:val="auto"/>
        </w:rPr>
        <w:t>Upstart Holdings, Inc., a corporation organized and existing under the laws of the State of Delaware (the “</w:t>
      </w:r>
      <w:r>
        <w:rPr>
          <w:rFonts w:ascii="Arial" w:cs="Arial" w:eastAsia="Arial" w:hAnsi="Arial"/>
          <w:sz w:val="21"/>
          <w:szCs w:val="21"/>
          <w:b w:val="1"/>
          <w:bCs w:val="1"/>
          <w:color w:val="auto"/>
        </w:rPr>
        <w:t>Company</w:t>
      </w:r>
      <w:r>
        <w:rPr>
          <w:rFonts w:ascii="Arial" w:cs="Arial" w:eastAsia="Arial" w:hAnsi="Arial"/>
          <w:sz w:val="20"/>
          <w:szCs w:val="20"/>
          <w:color w:val="auto"/>
        </w:rPr>
        <w:t>”), does hereby certify as follows:</w:t>
      </w:r>
    </w:p>
    <w:p>
      <w:pPr>
        <w:spacing w:after="0" w:line="204" w:lineRule="exact"/>
        <w:rPr>
          <w:sz w:val="20"/>
          <w:szCs w:val="20"/>
          <w:color w:val="auto"/>
        </w:rPr>
      </w:pPr>
    </w:p>
    <w:p>
      <w:pPr>
        <w:ind w:left="660" w:hanging="328"/>
        <w:spacing w:after="0" w:line="231" w:lineRule="auto"/>
        <w:tabs>
          <w:tab w:leader="none" w:pos="654" w:val="left"/>
        </w:tabs>
        <w:numPr>
          <w:ilvl w:val="0"/>
          <w:numId w:val="66"/>
        </w:numPr>
        <w:rPr>
          <w:rFonts w:ascii="Arial" w:cs="Arial" w:eastAsia="Arial" w:hAnsi="Arial"/>
          <w:sz w:val="22"/>
          <w:szCs w:val="22"/>
          <w:color w:val="auto"/>
        </w:rPr>
      </w:pPr>
      <w:r>
        <w:rPr>
          <w:rFonts w:ascii="Arial" w:cs="Arial" w:eastAsia="Arial" w:hAnsi="Arial"/>
          <w:sz w:val="20"/>
          <w:szCs w:val="20"/>
          <w:color w:val="auto"/>
        </w:rPr>
        <w:t>The original Certificate of Incorporation of the Company was filed with the Secretary of State of the State of Delaware on December 9, 2013.</w:t>
      </w:r>
    </w:p>
    <w:p>
      <w:pPr>
        <w:spacing w:after="0" w:line="223" w:lineRule="exact"/>
        <w:rPr>
          <w:rFonts w:ascii="Arial" w:cs="Arial" w:eastAsia="Arial" w:hAnsi="Arial"/>
          <w:sz w:val="22"/>
          <w:szCs w:val="22"/>
          <w:color w:val="auto"/>
        </w:rPr>
      </w:pPr>
    </w:p>
    <w:p>
      <w:pPr>
        <w:jc w:val="both"/>
        <w:ind w:left="660" w:hanging="328"/>
        <w:spacing w:after="0" w:line="262" w:lineRule="auto"/>
        <w:tabs>
          <w:tab w:leader="none" w:pos="656" w:val="left"/>
        </w:tabs>
        <w:numPr>
          <w:ilvl w:val="0"/>
          <w:numId w:val="66"/>
        </w:numPr>
        <w:rPr>
          <w:rFonts w:ascii="Arial" w:cs="Arial" w:eastAsia="Arial" w:hAnsi="Arial"/>
          <w:sz w:val="20"/>
          <w:szCs w:val="20"/>
          <w:color w:val="auto"/>
        </w:rPr>
      </w:pPr>
      <w:r>
        <w:rPr>
          <w:rFonts w:ascii="Arial" w:cs="Arial" w:eastAsia="Arial" w:hAnsi="Arial"/>
          <w:sz w:val="18"/>
          <w:szCs w:val="18"/>
          <w:color w:val="auto"/>
        </w:rPr>
        <w:t>This Amended and Restated Certificate of Incorporation was duly adopted in accordance with Sections 242 and 245 of the General Corporation Law of the State of Delaware (the “</w:t>
      </w:r>
      <w:r>
        <w:rPr>
          <w:rFonts w:ascii="Arial" w:cs="Arial" w:eastAsia="Arial" w:hAnsi="Arial"/>
          <w:sz w:val="19"/>
          <w:szCs w:val="19"/>
          <w:b w:val="1"/>
          <w:bCs w:val="1"/>
          <w:color w:val="auto"/>
        </w:rPr>
        <w:t>DGCL</w:t>
      </w:r>
      <w:r>
        <w:rPr>
          <w:rFonts w:ascii="Arial" w:cs="Arial" w:eastAsia="Arial" w:hAnsi="Arial"/>
          <w:sz w:val="18"/>
          <w:szCs w:val="18"/>
          <w:color w:val="auto"/>
        </w:rPr>
        <w:t>”) by the Board of Directors of the Company (the “</w:t>
      </w:r>
      <w:r>
        <w:rPr>
          <w:rFonts w:ascii="Arial" w:cs="Arial" w:eastAsia="Arial" w:hAnsi="Arial"/>
          <w:sz w:val="19"/>
          <w:szCs w:val="19"/>
          <w:b w:val="1"/>
          <w:bCs w:val="1"/>
          <w:color w:val="auto"/>
        </w:rPr>
        <w:t>Board of Directors</w:t>
      </w:r>
      <w:r>
        <w:rPr>
          <w:rFonts w:ascii="Arial" w:cs="Arial" w:eastAsia="Arial" w:hAnsi="Arial"/>
          <w:sz w:val="18"/>
          <w:szCs w:val="18"/>
          <w:color w:val="auto"/>
        </w:rPr>
        <w:t>”) and has been duly approved by the written consent of the stockholders of the Company in accordance with Section 228 of the DGCL.</w:t>
      </w:r>
    </w:p>
    <w:p>
      <w:pPr>
        <w:spacing w:after="0" w:line="202" w:lineRule="exact"/>
        <w:rPr>
          <w:rFonts w:ascii="Arial" w:cs="Arial" w:eastAsia="Arial" w:hAnsi="Arial"/>
          <w:sz w:val="20"/>
          <w:szCs w:val="20"/>
          <w:color w:val="auto"/>
        </w:rPr>
      </w:pPr>
    </w:p>
    <w:p>
      <w:pPr>
        <w:ind w:left="660" w:hanging="328"/>
        <w:spacing w:after="0"/>
        <w:tabs>
          <w:tab w:leader="none" w:pos="660" w:val="left"/>
        </w:tabs>
        <w:numPr>
          <w:ilvl w:val="0"/>
          <w:numId w:val="66"/>
        </w:numPr>
        <w:rPr>
          <w:rFonts w:ascii="Arial" w:cs="Arial" w:eastAsia="Arial" w:hAnsi="Arial"/>
          <w:sz w:val="19"/>
          <w:szCs w:val="19"/>
          <w:color w:val="auto"/>
        </w:rPr>
      </w:pPr>
      <w:r>
        <w:rPr>
          <w:rFonts w:ascii="Arial" w:cs="Arial" w:eastAsia="Arial" w:hAnsi="Arial"/>
          <w:sz w:val="18"/>
          <w:szCs w:val="18"/>
          <w:color w:val="auto"/>
        </w:rPr>
        <w:t>The text of the Amended and Restated Certificate of Incorporation is hereby amended and restated in its entirety to read as follows:</w:t>
      </w:r>
    </w:p>
    <w:p>
      <w:pPr>
        <w:spacing w:after="0" w:line="230"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ARTICLE I</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name of the Company is Upstart Holdings,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address of the Company’s registered office in the State of Delaware is 1209 Orange Street, in the City of Wilmington, County of New Castle, Delaware 19801. The name of its registered agent at such address is The Corporation Trust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nature of the business or purposes to be conducted or promoted by the Company is to engage in any lawful act or activity for which corporations may be organized under the DGCL.</w:t>
      </w:r>
    </w:p>
    <w:p>
      <w:pPr>
        <w:spacing w:after="0" w:line="193"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ARTICLE IV</w:t>
      </w:r>
    </w:p>
    <w:p>
      <w:pPr>
        <w:spacing w:after="0" w:line="23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Section 1. This Company is authorized to issue two classes of stock, to be designated, respectively, Common Stock and Preferred Stock. The total number of shares of stock that the Company shall have authority to issue is 770,000,000 shares, of which 700,000,000 shares are Common Stock, $0.0001 par value per share, and 70,000,000 shares are Preferred Stock, $0.0001 par value per share.</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Section 2. Each share of Common Stock outstanding as of the applicable record date shall entitle the holder thereof to one (1) vote on any matter submitted to a vote at a meeting of stockholders.</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w:t>
      </w:r>
    </w:p>
    <w:p>
      <w:pPr>
        <w:sectPr>
          <w:pgSz w:w="11900" w:h="16838" w:orient="portrait"/>
          <w:cols w:equalWidth="0" w:num="1">
            <w:col w:w="11240"/>
          </w:cols>
          <w:pgMar w:left="320" w:top="1440" w:right="339" w:bottom="1440" w:gutter="0" w:footer="0" w:header="0"/>
        </w:sectPr>
      </w:pPr>
    </w:p>
    <w:bookmarkStart w:id="166" w:name="page167"/>
    <w:bookmarkEnd w:id="166"/>
    <w:p>
      <w:pPr>
        <w:jc w:val="both"/>
        <w:spacing w:after="0"/>
        <w:rPr>
          <w:sz w:val="20"/>
          <w:szCs w:val="20"/>
          <w:color w:val="auto"/>
        </w:rPr>
      </w:pPr>
      <w:r>
        <w:rPr>
          <w:rFonts w:ascii="Arial" w:cs="Arial" w:eastAsia="Arial" w:hAnsi="Arial"/>
          <w:sz w:val="19"/>
          <w:szCs w:val="19"/>
          <w:color w:val="auto"/>
        </w:rPr>
        <w:t>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Amended and Restated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Section 4. Except as otherwise required by law or provided in this Amended and Restated Certificate of Incorporation,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20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V</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Amended and Restated Certificate of Incorporation, the term “</w:t>
      </w:r>
      <w:r>
        <w:rPr>
          <w:rFonts w:ascii="Arial" w:cs="Arial" w:eastAsia="Arial" w:hAnsi="Arial"/>
          <w:sz w:val="19"/>
          <w:szCs w:val="19"/>
          <w:b w:val="1"/>
          <w:bCs w:val="1"/>
          <w:color w:val="auto"/>
        </w:rPr>
        <w:t>Whole Board</w:t>
      </w:r>
      <w:r>
        <w:rPr>
          <w:rFonts w:ascii="Arial" w:cs="Arial" w:eastAsia="Arial" w:hAnsi="Arial"/>
          <w:sz w:val="18"/>
          <w:szCs w:val="18"/>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9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Section 2. From and after the effectiveness of this Amended and Restated Certificate of Incorporation,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w:t>
      </w:r>
    </w:p>
    <w:p>
      <w:pPr>
        <w:sectPr>
          <w:pgSz w:w="11900" w:h="16838" w:orient="portrait"/>
          <w:cols w:equalWidth="0" w:num="1">
            <w:col w:w="11240"/>
          </w:cols>
          <w:pgMar w:left="320" w:top="1419" w:right="339" w:bottom="1440" w:gutter="0" w:footer="0" w:header="0"/>
        </w:sectPr>
      </w:pPr>
    </w:p>
    <w:bookmarkStart w:id="167" w:name="page168"/>
    <w:bookmarkEnd w:id="167"/>
    <w:p>
      <w:pPr>
        <w:jc w:val="both"/>
        <w:spacing w:after="0" w:line="259" w:lineRule="auto"/>
        <w:rPr>
          <w:sz w:val="20"/>
          <w:szCs w:val="20"/>
          <w:color w:val="auto"/>
        </w:rPr>
      </w:pPr>
      <w:r>
        <w:rPr>
          <w:rFonts w:ascii="Arial" w:cs="Arial" w:eastAsia="Arial" w:hAnsi="Arial"/>
          <w:sz w:val="18"/>
          <w:szCs w:val="18"/>
          <w:color w:val="auto"/>
        </w:rPr>
        <w:t xml:space="preserve">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9"/>
          <w:szCs w:val="19"/>
          <w:i w:val="1"/>
          <w:iCs w:val="1"/>
          <w:color w:val="auto"/>
        </w:rPr>
        <w:t>provided that</w:t>
      </w:r>
      <w:r>
        <w:rPr>
          <w:rFonts w:ascii="Arial" w:cs="Arial" w:eastAsia="Arial" w:hAnsi="Arial"/>
          <w:sz w:val="18"/>
          <w:szCs w:val="18"/>
          <w:color w:val="auto"/>
        </w:rPr>
        <w:t xml:space="preserve"> no decrease in the number of directors constituting the Board of Directors shall shorten the term of any incumbent director.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Section 1. From and after the effectiveness of this Amended and Restated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a majority of the voting power of the issued and outstanding capital stock of the Company entitled to vote in the election of directors.</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194"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ARTICLE VII</w:t>
      </w:r>
    </w:p>
    <w:p>
      <w:pPr>
        <w:spacing w:after="0" w:line="23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color w:val="auto"/>
        </w:rPr>
        <w:t>The Company is to have perpetual existence.</w:t>
      </w:r>
    </w:p>
    <w:p>
      <w:pPr>
        <w:spacing w:after="0" w:line="22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Section 2. The business and affairs of the Company shall be managed by or under the direction of the Board of Directors. In addition to the powers and authority expressly conferred upon them by statute or by this Amended and Restated Certificate of Incorporation or the Bylaws of the Company, the directors are hereby empowered to exercise all such powers and do all such acts and things as may be exercised or done by the Company.</w:t>
      </w:r>
    </w:p>
    <w:p>
      <w:pPr>
        <w:spacing w:after="0" w:line="2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Amended and Restated Certificate of Incorporation, the Bylaws of the Company may not be amended, altered or repealed except in accordance with the provisions of the Bylaws relating to amendments to the Bylaws. No Bylaw hereafter legally adopted, amended, altered or</w:t>
      </w:r>
    </w:p>
    <w:p>
      <w:pPr>
        <w:sectPr>
          <w:pgSz w:w="11900" w:h="16838" w:orient="portrait"/>
          <w:cols w:equalWidth="0" w:num="1">
            <w:col w:w="11240"/>
          </w:cols>
          <w:pgMar w:left="320" w:top="1419" w:right="339" w:bottom="1440" w:gutter="0" w:footer="0" w:header="0"/>
        </w:sectPr>
      </w:pPr>
    </w:p>
    <w:bookmarkStart w:id="168" w:name="page169"/>
    <w:bookmarkEnd w:id="168"/>
    <w:p>
      <w:pPr>
        <w:jc w:val="both"/>
        <w:spacing w:after="0" w:line="246" w:lineRule="auto"/>
        <w:rPr>
          <w:sz w:val="20"/>
          <w:szCs w:val="20"/>
          <w:color w:val="auto"/>
        </w:rPr>
      </w:pPr>
      <w:r>
        <w:rPr>
          <w:rFonts w:ascii="Arial" w:cs="Arial" w:eastAsia="Arial" w:hAnsi="Arial"/>
          <w:sz w:val="20"/>
          <w:szCs w:val="20"/>
          <w:color w:val="auto"/>
        </w:rPr>
        <w:t>repealed shall invalidate any prior act of the directors or officers of the Company that would have been valid if such Bylaw had not been adopted, amended, altered or repealed.</w:t>
      </w:r>
    </w:p>
    <w:p>
      <w:pPr>
        <w:spacing w:after="0" w:line="204"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color w:val="auto"/>
        </w:rPr>
        <w:t>The election of directors need not be by written ballot unless the Bylaws of the Company shall so provide.</w:t>
      </w:r>
    </w:p>
    <w:p>
      <w:pPr>
        <w:spacing w:after="0" w:line="229"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color w:val="auto"/>
        </w:rPr>
        <w:t>No stockholder will be permitted to cumulate votes at any election of directors.</w:t>
      </w:r>
    </w:p>
    <w:p>
      <w:pPr>
        <w:spacing w:after="0" w:line="223"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VIII</w:t>
      </w:r>
    </w:p>
    <w:p>
      <w:pPr>
        <w:spacing w:after="0" w:line="2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Section 1. From and after the closing of a firm commitment underwritten initial public offering of securities of the Company pursuant to an effective registration statement filed under the Securities Act of 1933, as amended,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20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211"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204"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IX</w:t>
      </w:r>
    </w:p>
    <w:p>
      <w:pPr>
        <w:spacing w:after="0" w:line="23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8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Arial" w:cs="Arial" w:eastAsia="Arial" w:hAnsi="Arial"/>
          <w:sz w:val="20"/>
          <w:szCs w:val="20"/>
          <w:b w:val="1"/>
          <w:bCs w:val="1"/>
          <w:color w:val="auto"/>
        </w:rPr>
        <w:t>Proceeding</w:t>
      </w:r>
      <w:r>
        <w:rPr>
          <w:rFonts w:ascii="Arial" w:cs="Arial" w:eastAsia="Arial" w:hAnsi="Arial"/>
          <w:sz w:val="19"/>
          <w:szCs w:val="19"/>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21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Section 3. The Company shall have the power to indemnify, to the extent permitted by applicable law, any officer, employee or agent of the Company who was or is a party or is threatened to</w:t>
      </w:r>
    </w:p>
    <w:p>
      <w:pPr>
        <w:sectPr>
          <w:pgSz w:w="11900" w:h="16838" w:orient="portrait"/>
          <w:cols w:equalWidth="0" w:num="1">
            <w:col w:w="11240"/>
          </w:cols>
          <w:pgMar w:left="320" w:top="1419" w:right="339" w:bottom="1440" w:gutter="0" w:footer="0" w:header="0"/>
        </w:sectPr>
      </w:pPr>
    </w:p>
    <w:bookmarkStart w:id="169" w:name="page170"/>
    <w:bookmarkEnd w:id="169"/>
    <w:p>
      <w:pPr>
        <w:jc w:val="both"/>
        <w:spacing w:after="0" w:line="267" w:lineRule="auto"/>
        <w:rPr>
          <w:sz w:val="20"/>
          <w:szCs w:val="20"/>
          <w:color w:val="auto"/>
        </w:rPr>
      </w:pPr>
      <w:r>
        <w:rPr>
          <w:rFonts w:ascii="Arial" w:cs="Arial" w:eastAsia="Arial" w:hAnsi="Arial"/>
          <w:sz w:val="18"/>
          <w:szCs w:val="18"/>
          <w:color w:val="auto"/>
        </w:rPr>
        <w:t>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Section 4. Neither any amendment nor repeal of any Section of this ARTICLE IX, nor the adoption of any provision of this Amended and Restated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or adoption of an inconsistent provision.</w:t>
      </w:r>
    </w:p>
    <w:p>
      <w:pPr>
        <w:spacing w:after="0" w:line="204"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X</w:t>
      </w:r>
    </w:p>
    <w:p>
      <w:pPr>
        <w:spacing w:after="0" w:line="2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191" w:lineRule="exact"/>
        <w:rPr>
          <w:sz w:val="20"/>
          <w:szCs w:val="20"/>
          <w:color w:val="auto"/>
        </w:rPr>
      </w:pPr>
    </w:p>
    <w:p>
      <w:pPr>
        <w:jc w:val="center"/>
        <w:ind w:left="640"/>
        <w:spacing w:after="0"/>
        <w:rPr>
          <w:sz w:val="20"/>
          <w:szCs w:val="20"/>
          <w:color w:val="auto"/>
        </w:rPr>
      </w:pPr>
      <w:r>
        <w:rPr>
          <w:rFonts w:ascii="Arial" w:cs="Arial" w:eastAsia="Arial" w:hAnsi="Arial"/>
          <w:sz w:val="20"/>
          <w:szCs w:val="20"/>
          <w:b w:val="1"/>
          <w:bCs w:val="1"/>
          <w:color w:val="auto"/>
        </w:rPr>
        <w:t>ARTICLE XI</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Arial" w:cs="Arial" w:eastAsia="Arial" w:hAnsi="Arial"/>
          <w:sz w:val="19"/>
          <w:szCs w:val="19"/>
          <w:i w:val="1"/>
          <w:iCs w:val="1"/>
          <w:color w:val="auto"/>
        </w:rPr>
        <w:t>provided</w:t>
      </w:r>
      <w:r>
        <w:rPr>
          <w:rFonts w:ascii="Arial" w:cs="Arial" w:eastAsia="Arial" w:hAnsi="Arial"/>
          <w:sz w:val="18"/>
          <w:szCs w:val="18"/>
          <w:color w:val="auto"/>
        </w:rPr>
        <w:t xml:space="preserve">, </w:t>
      </w:r>
      <w:r>
        <w:rPr>
          <w:rFonts w:ascii="Arial" w:cs="Arial" w:eastAsia="Arial" w:hAnsi="Arial"/>
          <w:sz w:val="19"/>
          <w:szCs w:val="19"/>
          <w:i w:val="1"/>
          <w:iCs w:val="1"/>
          <w:color w:val="auto"/>
        </w:rPr>
        <w:t>however</w:t>
      </w:r>
      <w:r>
        <w:rPr>
          <w:rFonts w:ascii="Arial" w:cs="Arial" w:eastAsia="Arial" w:hAnsi="Arial"/>
          <w:sz w:val="18"/>
          <w:szCs w:val="18"/>
          <w:color w:val="auto"/>
        </w:rPr>
        <w:t>, that notwithstanding any other provision of this Amended and Restated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Amended and Restated Certificate of Incorporation.</w:t>
      </w:r>
    </w:p>
    <w:p>
      <w:pPr>
        <w:spacing w:after="0" w:line="1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 xml:space="preserve">IN WITNESS WHEREOF, Upstart Holdings, Inc. has caused this Amended and Restated Certificate of Incorporation to be signed by the Chief Executive Officer of the Company on this 18th </w:t>
      </w:r>
      <w:r>
        <w:rPr>
          <w:rFonts w:ascii="Arial" w:cs="Arial" w:eastAsia="Arial" w:hAnsi="Arial"/>
          <w:sz w:val="21"/>
          <w:szCs w:val="21"/>
          <w:color w:val="auto"/>
        </w:rPr>
        <w:t>day of</w:t>
      </w:r>
      <w:r>
        <w:rPr>
          <w:rFonts w:ascii="Arial" w:cs="Arial" w:eastAsia="Arial" w:hAnsi="Arial"/>
          <w:sz w:val="20"/>
          <w:szCs w:val="20"/>
          <w:color w:val="auto"/>
        </w:rPr>
        <w:t xml:space="preserve"> December </w:t>
      </w:r>
      <w:r>
        <w:rPr>
          <w:rFonts w:ascii="Arial" w:cs="Arial" w:eastAsia="Arial" w:hAnsi="Arial"/>
          <w:sz w:val="21"/>
          <w:szCs w:val="21"/>
          <w:color w:val="auto"/>
        </w:rPr>
        <w:t>2020.</w:t>
      </w:r>
    </w:p>
    <w:p>
      <w:pPr>
        <w:spacing w:after="0" w:line="200" w:lineRule="exact"/>
        <w:rPr>
          <w:sz w:val="20"/>
          <w:szCs w:val="20"/>
          <w:color w:val="auto"/>
        </w:rPr>
      </w:pPr>
    </w:p>
    <w:p>
      <w:pPr>
        <w:spacing w:after="0" w:line="228"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Dave Girouard</w:t>
      </w:r>
    </w:p>
    <w:p>
      <w:pPr>
        <w:ind w:left="4940"/>
        <w:spacing w:after="0" w:line="234" w:lineRule="auto"/>
        <w:rPr>
          <w:sz w:val="20"/>
          <w:szCs w:val="20"/>
          <w:color w:val="auto"/>
        </w:rPr>
      </w:pPr>
      <w:r>
        <w:rPr>
          <w:rFonts w:ascii="Arial" w:cs="Arial" w:eastAsia="Arial" w:hAnsi="Arial"/>
          <w:sz w:val="20"/>
          <w:szCs w:val="20"/>
          <w:color w:val="auto"/>
        </w:rPr>
        <w:t>Dave Girouard</w:t>
      </w:r>
    </w:p>
    <w:p>
      <w:pPr>
        <w:ind w:left="4940"/>
        <w:spacing w:after="0"/>
        <w:rPr>
          <w:sz w:val="20"/>
          <w:szCs w:val="20"/>
          <w:color w:val="auto"/>
        </w:rPr>
      </w:pPr>
      <w:r>
        <w:rPr>
          <w:rFonts w:ascii="Arial" w:cs="Arial" w:eastAsia="Arial" w:hAnsi="Arial"/>
          <w:sz w:val="20"/>
          <w:szCs w:val="20"/>
          <w:color w:val="auto"/>
        </w:rPr>
        <w:t>Chief Executive Officer</w:t>
      </w:r>
    </w:p>
    <w:p>
      <w:pPr>
        <w:sectPr>
          <w:pgSz w:w="11900" w:h="16838" w:orient="portrait"/>
          <w:cols w:equalWidth="0" w:num="1">
            <w:col w:w="11240"/>
          </w:cols>
          <w:pgMar w:left="320" w:top="1419" w:right="339" w:bottom="1440" w:gutter="0" w:footer="0" w:header="0"/>
        </w:sectPr>
      </w:pPr>
    </w:p>
    <w:bookmarkStart w:id="170" w:name="page171"/>
    <w:bookmarkEnd w:id="170"/>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4.3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551"/>
        <w:spacing w:after="0" w:line="272" w:lineRule="auto"/>
        <w:rPr>
          <w:sz w:val="20"/>
          <w:szCs w:val="20"/>
          <w:color w:val="auto"/>
        </w:rPr>
      </w:pPr>
      <w:r>
        <w:rPr>
          <w:rFonts w:ascii="Arial" w:cs="Arial" w:eastAsia="Arial" w:hAnsi="Arial"/>
          <w:sz w:val="17"/>
          <w:szCs w:val="17"/>
          <w:color w:val="auto"/>
        </w:rPr>
        <w:t>The following description of capital stock of Upstart Holdings, Inc. (“us”, “our”, “we,” or the “Company) is a summary of the rights of our common stock and certain provisions of our amended and restated certificate of incorporation and amended and restated bylaws as currently in effect. This summary does not purport to be complete and is qualified in its entirety by the provisions of our amended and restated certificate of incorporation, amended and restated bylaws, and Amended and Restated Investors’ Rights Agreement (“IRA”), each previously filed with the Securities and Exchange Commission and incorporated by reference as an exhibit to the Annual Report on Form 10-K of which this Exhibit 4.3 is a part, as well as to the applicable provisions of the Delaware General Corporation Law (the “DGCL”). We encourage you to read our amended and restated certificate of incorporation, amended and restated bylaws, IRA, and the applicable provisions of the DGCL carefully.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 770,000,000 shares, $0.0001 par value per share of which:</w:t>
      </w:r>
    </w:p>
    <w:p>
      <w:pPr>
        <w:spacing w:after="0" w:line="117" w:lineRule="exact"/>
        <w:rPr>
          <w:sz w:val="20"/>
          <w:szCs w:val="20"/>
          <w:color w:val="auto"/>
        </w:rPr>
      </w:pPr>
    </w:p>
    <w:p>
      <w:pPr>
        <w:ind w:left="800" w:hanging="242"/>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700,000,000 shares are designated as common stock; and</w:t>
      </w:r>
    </w:p>
    <w:p>
      <w:pPr>
        <w:spacing w:after="0" w:line="117" w:lineRule="exact"/>
        <w:rPr>
          <w:rFonts w:ascii="Arial" w:cs="Arial" w:eastAsia="Arial" w:hAnsi="Arial"/>
          <w:sz w:val="18"/>
          <w:szCs w:val="18"/>
          <w:color w:val="auto"/>
        </w:rPr>
      </w:pPr>
    </w:p>
    <w:p>
      <w:pPr>
        <w:ind w:left="800" w:hanging="242"/>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70,000,000 shares are designated as preferred stock.</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jc w:val="both"/>
        <w:ind w:firstLine="551"/>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amended and restated certificate of incorporation.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or Similar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121"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551"/>
        <w:spacing w:after="0" w:line="289" w:lineRule="auto"/>
        <w:rPr>
          <w:sz w:val="20"/>
          <w:szCs w:val="20"/>
          <w:color w:val="auto"/>
        </w:rPr>
      </w:pPr>
      <w:r>
        <w:rPr>
          <w:rFonts w:ascii="Arial" w:cs="Arial" w:eastAsia="Arial" w:hAnsi="Arial"/>
          <w:sz w:val="16"/>
          <w:szCs w:val="16"/>
          <w:color w:val="auto"/>
        </w:rPr>
        <w:t>Pursuant to our amended and restated certificate of incorporation, our board of directors will have the authority, subject to limitations prescribed by the DGCL,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the Company and might adversely affect the market price of our common stock and the voting and other rights of the holders of our common stock. We have no current plan to issue any shares of preferred stock.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551"/>
        <w:spacing w:after="0" w:line="254" w:lineRule="auto"/>
        <w:rPr>
          <w:sz w:val="20"/>
          <w:szCs w:val="20"/>
          <w:color w:val="auto"/>
        </w:rPr>
      </w:pPr>
      <w:r>
        <w:rPr>
          <w:rFonts w:ascii="Arial" w:cs="Arial" w:eastAsia="Arial" w:hAnsi="Arial"/>
          <w:sz w:val="18"/>
          <w:szCs w:val="18"/>
          <w:color w:val="auto"/>
        </w:rPr>
        <w:t>Certain holders of our common stock are entitled under the IRA to rights with respect to the registration of their shares under the Securities Act The registration rights set forth in the IRA will expire four years following our initial public offering, which occurred in December 2020, or, with respect to any particular stockholder, when such stockholder is able to sell all of its shares pursuant to Rule 144 of the Securities Act during any 90-day period. We will pay the registration expenses (other than underwriting discounts and commissions) of the holders of the shares registered pursuant to the demand registrations and piggyback registrations described below. Holders of our preferred stock participating in any S-3 registrations below will pay their own registration expenses. In an underwritten offering, the managing underwriter, if any, has the right, subject to specified conditions, to limit the number of shares such holders may include.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121"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8"/>
          <w:szCs w:val="18"/>
          <w:color w:val="auto"/>
        </w:rPr>
        <w:t>Certain holders of our common stock are entitled to demand registration rights pursuant to the IRA. At any time beginning six months after the effective date of our initial public offering, the holders of at least 50% of these shares then outstanding can request that we register the offer and sale of their shares. Such request for registration must cover securities, the aggregate public offering price of which, after payment of underwriting discounts and commissions, is at least $5,000,000. We are obligated to effect only two such registrations. If we determine that it would be seriously detrimental to us and our stockholders to effect such a demand registration, we have the right to defer such registration, not more than once in any 12-month period, for a period of up to 120 days.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Piggyback Registration Rights</w:t>
      </w:r>
    </w:p>
    <w:p>
      <w:pPr>
        <w:spacing w:after="0" w:line="121" w:lineRule="exact"/>
        <w:rPr>
          <w:sz w:val="20"/>
          <w:szCs w:val="20"/>
          <w:color w:val="auto"/>
        </w:rPr>
      </w:pPr>
    </w:p>
    <w:p>
      <w:pPr>
        <w:jc w:val="both"/>
        <w:ind w:firstLine="551"/>
        <w:spacing w:after="0" w:line="290" w:lineRule="auto"/>
        <w:rPr>
          <w:sz w:val="20"/>
          <w:szCs w:val="20"/>
          <w:color w:val="auto"/>
        </w:rPr>
      </w:pPr>
      <w:r>
        <w:rPr>
          <w:rFonts w:ascii="Arial" w:cs="Arial" w:eastAsia="Arial" w:hAnsi="Arial"/>
          <w:sz w:val="16"/>
          <w:szCs w:val="16"/>
          <w:color w:val="auto"/>
        </w:rPr>
        <w:t>If we propose to register the offer and sale of our common stock under the Securities Act, in connection with the public offering of such common stock, certain holders of our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in which the only common stock being registered is common stock issuable upon conversion of debt securities that are also being registered; (ii) a registration related to any employee benefit plan or a corporate reorganization or other transaction covered by Rule 145 promulgated under the Securities Act; or (iii) a registration on any registration form which does not include substantially the same information as would be required to be included in a registration statement covering the public offering of our common stock, the holders of these shares are entitled to notice of the registration and have the right, subject to certain limitations, to include their shares in the registration.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S-3 Registration Rights</w:t>
      </w:r>
    </w:p>
    <w:p>
      <w:pPr>
        <w:spacing w:after="0" w:line="121" w:lineRule="exact"/>
        <w:rPr>
          <w:sz w:val="20"/>
          <w:szCs w:val="20"/>
          <w:color w:val="auto"/>
        </w:rPr>
      </w:pPr>
    </w:p>
    <w:p>
      <w:pPr>
        <w:jc w:val="both"/>
        <w:ind w:firstLine="551"/>
        <w:spacing w:after="0" w:line="277" w:lineRule="auto"/>
        <w:rPr>
          <w:sz w:val="20"/>
          <w:szCs w:val="20"/>
          <w:color w:val="auto"/>
        </w:rPr>
      </w:pPr>
      <w:r>
        <w:rPr>
          <w:rFonts w:ascii="Arial" w:cs="Arial" w:eastAsia="Arial" w:hAnsi="Arial"/>
          <w:sz w:val="18"/>
          <w:szCs w:val="18"/>
          <w:color w:val="auto"/>
        </w:rPr>
        <w:t>After 180 days following the completion of our initial public offering, certain holders of our common stock are entitled to certain Form S-3 registration rights pursuant to the IRA. The holders of at least 50% of these shares then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3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outstanding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after payment of underwriting discounts and commissions, is at least $1,000,000. These stockholders may make an unlimited number of requests for registration on Form S-3; however, we will not be required to effect a registration on Form S-3 if we have effected two such registrations within the 12-month period preceding the date of the request or if we have already previously effected three such registrations. Additionally, if we determine that it would be seriously detrimental to us and our stockholders to effect such a registration, we have the right to defer such registration, not more than once in any 12-month period, for a period of up to 120 days.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8"/>
          <w:szCs w:val="18"/>
          <w:color w:val="auto"/>
        </w:rPr>
        <w:t>Certain provisions of Delaware law, our amended and restated certificate of incorporation and our amended and restated bylaws, which are summarized below, may have the effect of delaying, deferring or discouraging another person from acquiring control of the Company. They are also designed, in part, to enhance the likelihood of continued stability in the composition of our board of directors and its policies and to encourage persons seeking to acquire control of us to negotiate first with our board of directors. We believe that the benefits of these provisions, including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21" w:lineRule="exact"/>
        <w:rPr>
          <w:sz w:val="20"/>
          <w:szCs w:val="20"/>
          <w:color w:val="auto"/>
        </w:rPr>
      </w:pPr>
    </w:p>
    <w:p>
      <w:pPr>
        <w:jc w:val="both"/>
        <w:ind w:right="20" w:firstLine="551"/>
        <w:spacing w:after="0" w:line="263"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76" w:lineRule="exact"/>
        <w:rPr>
          <w:sz w:val="20"/>
          <w:szCs w:val="20"/>
          <w:color w:val="auto"/>
        </w:rPr>
      </w:pPr>
    </w:p>
    <w:p>
      <w:pPr>
        <w:ind w:left="780" w:hanging="222"/>
        <w:spacing w:after="0" w:line="277" w:lineRule="auto"/>
        <w:tabs>
          <w:tab w:leader="none" w:pos="8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62" w:lineRule="exact"/>
        <w:rPr>
          <w:rFonts w:ascii="Arial" w:cs="Arial" w:eastAsia="Arial" w:hAnsi="Arial"/>
          <w:sz w:val="18"/>
          <w:szCs w:val="18"/>
          <w:color w:val="auto"/>
        </w:rPr>
      </w:pPr>
    </w:p>
    <w:p>
      <w:pPr>
        <w:jc w:val="both"/>
        <w:ind w:left="780" w:hanging="222"/>
        <w:spacing w:after="0" w:line="279" w:lineRule="auto"/>
        <w:tabs>
          <w:tab w:leader="none" w:pos="805" w:val="left"/>
        </w:tabs>
        <w:numPr>
          <w:ilvl w:val="0"/>
          <w:numId w:val="68"/>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(i) directors who are also officers of the corporation and (ii) by employee stock plans in which employee participants do not have the right to determine confidentially whether shares held subject to the plan will be tendered in a tender or exchange offer; or</w:t>
      </w:r>
    </w:p>
    <w:p>
      <w:pPr>
        <w:spacing w:after="0" w:line="63" w:lineRule="exact"/>
        <w:rPr>
          <w:rFonts w:ascii="Arial" w:cs="Arial" w:eastAsia="Arial" w:hAnsi="Arial"/>
          <w:sz w:val="17"/>
          <w:szCs w:val="17"/>
          <w:color w:val="auto"/>
        </w:rPr>
      </w:pPr>
    </w:p>
    <w:p>
      <w:pPr>
        <w:jc w:val="both"/>
        <w:ind w:left="780" w:hanging="222"/>
        <w:spacing w:after="0" w:line="263" w:lineRule="auto"/>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84" w:lineRule="exact"/>
        <w:rPr>
          <w:sz w:val="20"/>
          <w:szCs w:val="20"/>
          <w:color w:val="auto"/>
        </w:rPr>
      </w:pPr>
    </w:p>
    <w:p>
      <w:pPr>
        <w:jc w:val="both"/>
        <w:ind w:firstLine="551"/>
        <w:spacing w:after="0" w:line="311"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Bylaws Provisions</w:t>
      </w:r>
    </w:p>
    <w:p>
      <w:pPr>
        <w:spacing w:after="0" w:line="121" w:lineRule="exact"/>
        <w:rPr>
          <w:sz w:val="20"/>
          <w:szCs w:val="20"/>
          <w:color w:val="auto"/>
        </w:rPr>
      </w:pPr>
    </w:p>
    <w:p>
      <w:pPr>
        <w:jc w:val="both"/>
        <w:ind w:firstLine="551"/>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includes a number of provisions that could deter hostile takeovers or delay or prevent changes in control of our board of directors or management team, including the following: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of Directors Vacancies</w:t>
      </w:r>
    </w:p>
    <w:p>
      <w:pPr>
        <w:spacing w:after="0" w:line="117"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jc w:val="both"/>
        <w:ind w:firstLine="551"/>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our board of 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Stockholder Action; Special Meeting of Stockholders</w:t>
      </w:r>
    </w:p>
    <w:p>
      <w:pPr>
        <w:spacing w:after="0" w:line="117" w:lineRule="exact"/>
        <w:rPr>
          <w:sz w:val="20"/>
          <w:szCs w:val="20"/>
          <w:color w:val="auto"/>
        </w:rPr>
      </w:pPr>
    </w:p>
    <w:p>
      <w:pPr>
        <w:jc w:val="both"/>
        <w:ind w:firstLine="551"/>
        <w:spacing w:after="0" w:line="254" w:lineRule="auto"/>
        <w:rPr>
          <w:sz w:val="20"/>
          <w:szCs w:val="20"/>
          <w:color w:val="auto"/>
        </w:rPr>
      </w:pPr>
      <w:r>
        <w:rPr>
          <w:rFonts w:ascii="Arial" w:cs="Arial" w:eastAsia="Arial" w:hAnsi="Arial"/>
          <w:sz w:val="18"/>
          <w:szCs w:val="18"/>
          <w:color w:val="auto"/>
        </w:rPr>
        <w:t>Our amended and restated certificate of incorporation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further provides that special meetings of our stockholders may be called only by a majority of our board of directors, the chairperson of our board of directors, our President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17"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8"/>
          <w:szCs w:val="18"/>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jc w:val="both"/>
        <w:ind w:right="20" w:firstLine="551"/>
        <w:spacing w:after="0" w:line="342" w:lineRule="auto"/>
        <w:rPr>
          <w:sz w:val="20"/>
          <w:szCs w:val="20"/>
          <w:color w:val="auto"/>
        </w:rPr>
      </w:pPr>
      <w:r>
        <w:rPr>
          <w:rFonts w:ascii="Arial" w:cs="Arial" w:eastAsia="Arial" w:hAnsi="Arial"/>
          <w:sz w:val="16"/>
          <w:szCs w:val="16"/>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Directors Removed Only for Cause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provides that stockholders may remove directors only for cause.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jc w:val="both"/>
        <w:ind w:firstLine="551"/>
        <w:spacing w:after="0" w:line="277" w:lineRule="auto"/>
        <w:rPr>
          <w:sz w:val="20"/>
          <w:szCs w:val="20"/>
          <w:color w:val="auto"/>
        </w:rPr>
      </w:pPr>
      <w:r>
        <w:rPr>
          <w:rFonts w:ascii="Arial" w:cs="Arial" w:eastAsia="Arial" w:hAnsi="Arial"/>
          <w:sz w:val="18"/>
          <w:szCs w:val="18"/>
          <w:color w:val="auto"/>
        </w:rPr>
        <w:t>Any amendment of the above provisions in our amended and restated certificate of incorporation would require approval by holders of at least 66 2/3% of our then outstanding capital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 of Undesignated Preferred Stock</w:t>
      </w:r>
    </w:p>
    <w:p>
      <w:pPr>
        <w:spacing w:after="0" w:line="117" w:lineRule="exact"/>
        <w:rPr>
          <w:sz w:val="20"/>
          <w:szCs w:val="20"/>
          <w:color w:val="auto"/>
        </w:rPr>
      </w:pPr>
    </w:p>
    <w:p>
      <w:pPr>
        <w:jc w:val="both"/>
        <w:ind w:firstLine="551"/>
        <w:spacing w:after="0" w:line="259"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70,000,000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Exclusive Forum</w:t>
      </w:r>
    </w:p>
    <w:p>
      <w:pPr>
        <w:spacing w:after="0" w:line="333" w:lineRule="exact"/>
        <w:rPr>
          <w:sz w:val="20"/>
          <w:szCs w:val="20"/>
          <w:color w:val="auto"/>
        </w:rPr>
      </w:pPr>
    </w:p>
    <w:p>
      <w:pPr>
        <w:jc w:val="both"/>
        <w:ind w:firstLine="551"/>
        <w:spacing w:after="0" w:line="269"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our certificate of incorporation or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Our amended and restated bylaws further provide that the federal district courts of the United States will be the exclusive forum for resolving any complaints asserting a cause of action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This exclusive forum provision will not apply to any causes of action arising under the Exchange Act or any other claim for which the federal courts have exclusive jurisdiction.</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3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38" w:lineRule="exact"/>
        <w:rPr>
          <w:sz w:val="20"/>
          <w:szCs w:val="20"/>
          <w:color w:val="auto"/>
        </w:rPr>
      </w:pPr>
    </w:p>
    <w:p>
      <w:pPr>
        <w:ind w:left="900" w:hanging="244"/>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17" w:lineRule="exact"/>
        <w:rPr>
          <w:rFonts w:ascii="Arial" w:cs="Arial" w:eastAsia="Arial" w:hAnsi="Arial"/>
          <w:sz w:val="18"/>
          <w:szCs w:val="18"/>
          <w:color w:val="auto"/>
        </w:rPr>
      </w:pPr>
    </w:p>
    <w:p>
      <w:pPr>
        <w:ind w:left="900" w:hanging="244"/>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8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62" w:lineRule="exact"/>
        <w:rPr>
          <w:rFonts w:ascii="Arial" w:cs="Arial" w:eastAsia="Arial" w:hAnsi="Arial"/>
          <w:sz w:val="18"/>
          <w:szCs w:val="18"/>
          <w:color w:val="auto"/>
        </w:rPr>
      </w:pPr>
    </w:p>
    <w:p>
      <w:pPr>
        <w:ind w:left="900" w:hanging="244"/>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our amended and restated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limited exceptions.</w:t>
      </w:r>
    </w:p>
    <w:p>
      <w:pPr>
        <w:spacing w:after="0" w:line="5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5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respect to payments that may be made by us to these directors and executive officers pursuant to our indemnification obligations or otherwise as a matter of law.</w:t>
      </w:r>
    </w:p>
    <w:p>
      <w:pPr>
        <w:spacing w:after="0" w:line="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 located at 6201 15th Avenue, Brooklyn, 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11219.</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symbol “UPST”.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b w:val="1"/>
          <w:bCs w:val="1"/>
          <w:color w:val="auto"/>
        </w:rPr>
        <w:t>Exhibit 10.7</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UPSTART HOLDINGS,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OUTSIDE DIRECTOR COMPENSATION POLICY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of January 1, 2022</w:t>
      </w:r>
    </w:p>
    <w:p>
      <w:pPr>
        <w:spacing w:after="0" w:line="11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1"/>
          <w:szCs w:val="21"/>
          <w:color w:val="auto"/>
        </w:rPr>
        <w:t>Upstart Holdings, Inc. (the “</w:t>
      </w:r>
      <w:r>
        <w:rPr>
          <w:rFonts w:ascii="Arial" w:cs="Arial" w:eastAsia="Arial" w:hAnsi="Arial"/>
          <w:sz w:val="21"/>
          <w:szCs w:val="21"/>
          <w:u w:val="single" w:color="auto"/>
          <w:color w:val="auto"/>
        </w:rPr>
        <w:t>Company</w:t>
      </w:r>
      <w:r>
        <w:rPr>
          <w:rFonts w:ascii="Arial" w:cs="Arial" w:eastAsia="Arial" w:hAnsi="Arial"/>
          <w:sz w:val="21"/>
          <w:szCs w:val="21"/>
          <w:color w:val="auto"/>
        </w:rPr>
        <w:t>”) believes that providing cash and equity compensation to members of its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and members of the Board, the “</w:t>
      </w:r>
      <w:r>
        <w:rPr>
          <w:rFonts w:ascii="Arial" w:cs="Arial" w:eastAsia="Arial" w:hAnsi="Arial"/>
          <w:sz w:val="21"/>
          <w:szCs w:val="21"/>
          <w:u w:val="single" w:color="auto"/>
          <w:color w:val="auto"/>
        </w:rPr>
        <w:t>Directors</w:t>
      </w:r>
      <w:r>
        <w:rPr>
          <w:rFonts w:ascii="Arial" w:cs="Arial" w:eastAsia="Arial" w:hAnsi="Arial"/>
          <w:sz w:val="21"/>
          <w:szCs w:val="21"/>
          <w:color w:val="auto"/>
        </w:rPr>
        <w:t>”) represents an effective tool to attract, retain and reward Directors who are not employees of the Company (the “</w:t>
      </w:r>
      <w:r>
        <w:rPr>
          <w:rFonts w:ascii="Arial" w:cs="Arial" w:eastAsia="Arial" w:hAnsi="Arial"/>
          <w:sz w:val="21"/>
          <w:szCs w:val="21"/>
          <w:u w:val="single" w:color="auto"/>
          <w:color w:val="auto"/>
        </w:rPr>
        <w:t>Outside Directors</w:t>
      </w:r>
      <w:r>
        <w:rPr>
          <w:rFonts w:ascii="Arial" w:cs="Arial" w:eastAsia="Arial" w:hAnsi="Arial"/>
          <w:sz w:val="21"/>
          <w:szCs w:val="21"/>
          <w:color w:val="auto"/>
        </w:rPr>
        <w:t>”). This Outside Director Compensation Policy (the “</w:t>
      </w:r>
      <w:r>
        <w:rPr>
          <w:rFonts w:ascii="Arial" w:cs="Arial" w:eastAsia="Arial" w:hAnsi="Arial"/>
          <w:sz w:val="21"/>
          <w:szCs w:val="21"/>
          <w:u w:val="single" w:color="auto"/>
          <w:color w:val="auto"/>
        </w:rPr>
        <w:t>Policy</w:t>
      </w:r>
      <w:r>
        <w:rPr>
          <w:rFonts w:ascii="Arial" w:cs="Arial" w:eastAsia="Arial" w:hAnsi="Arial"/>
          <w:sz w:val="21"/>
          <w:szCs w:val="21"/>
          <w:color w:val="auto"/>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any similar term in the equity plan then in place under which such equity award is granted) (such applicable plan, the “</w:t>
      </w:r>
      <w:r>
        <w:rPr>
          <w:rFonts w:ascii="Arial" w:cs="Arial" w:eastAsia="Arial" w:hAnsi="Arial"/>
          <w:sz w:val="21"/>
          <w:szCs w:val="21"/>
          <w:u w:val="single" w:color="auto"/>
          <w:color w:val="auto"/>
        </w:rPr>
        <w:t>Plan</w:t>
      </w:r>
      <w:r>
        <w:rPr>
          <w:rFonts w:ascii="Arial" w:cs="Arial" w:eastAsia="Arial" w:hAnsi="Arial"/>
          <w:sz w:val="21"/>
          <w:szCs w:val="21"/>
          <w:color w:val="auto"/>
        </w:rPr>
        <w:t>”). Each Outside Director will be solely responsible for any tax obligations incurred by such Outside Director as a result of the equity awards and cash and other compensation such Outside Director receives under this Policy.</w:t>
      </w:r>
    </w:p>
    <w:p>
      <w:pPr>
        <w:spacing w:after="0" w:line="20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Subject to Section 9 of this Policy, this Policy will be effective as of the date of the first sale of Shares (or other common equity securities of the Company) to the general public upon the closing of an underwritten public offering (1) pursuant to an effective registration statement filed pursuant to Section 12(b) of the U.S. Securities Exchange Act of 1934, as amended, and (2) immediately after which such securities (i.e., the Shares or other common equity securities of the Company) are registered on a national securities exchange (as defined under then-applicable United States federal securities laws and regulations) (such date,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97" w:lineRule="exact"/>
        <w:rPr>
          <w:sz w:val="20"/>
          <w:szCs w:val="20"/>
          <w:color w:val="auto"/>
        </w:rPr>
      </w:pPr>
    </w:p>
    <w:p>
      <w:pPr>
        <w:ind w:left="980" w:hanging="567"/>
        <w:spacing w:after="0"/>
        <w:tabs>
          <w:tab w:leader="none" w:pos="980" w:val="left"/>
        </w:tabs>
        <w:numPr>
          <w:ilvl w:val="0"/>
          <w:numId w:val="70"/>
        </w:numPr>
        <w:rPr>
          <w:rFonts w:ascii="Arial" w:cs="Arial" w:eastAsia="Arial" w:hAnsi="Arial"/>
          <w:sz w:val="22"/>
          <w:szCs w:val="22"/>
          <w:color w:val="auto"/>
        </w:rPr>
      </w:pPr>
      <w:r>
        <w:rPr>
          <w:rFonts w:ascii="Arial" w:cs="Arial" w:eastAsia="Arial" w:hAnsi="Arial"/>
          <w:sz w:val="22"/>
          <w:szCs w:val="22"/>
          <w:b w:val="1"/>
          <w:bCs w:val="1"/>
          <w:u w:val="single" w:color="auto"/>
          <w:color w:val="auto"/>
        </w:rPr>
        <w:t>Cash Compensation</w:t>
      </w:r>
    </w:p>
    <w:p>
      <w:pPr>
        <w:spacing w:after="0" w:line="225" w:lineRule="exact"/>
        <w:rPr>
          <w:rFonts w:ascii="Arial" w:cs="Arial" w:eastAsia="Arial" w:hAnsi="Arial"/>
          <w:sz w:val="22"/>
          <w:szCs w:val="22"/>
          <w:color w:val="auto"/>
        </w:rPr>
      </w:pPr>
    </w:p>
    <w:p>
      <w:pPr>
        <w:jc w:val="both"/>
        <w:ind w:firstLine="1061"/>
        <w:spacing w:after="0" w:line="231" w:lineRule="auto"/>
        <w:tabs>
          <w:tab w:leader="none" w:pos="1365"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Annual Cash Retainers for Service as Outside Director</w:t>
      </w:r>
      <w:r>
        <w:rPr>
          <w:rFonts w:ascii="Arial" w:cs="Arial" w:eastAsia="Arial" w:hAnsi="Arial"/>
          <w:sz w:val="22"/>
          <w:szCs w:val="22"/>
          <w:color w:val="auto"/>
        </w:rPr>
        <w:t>. Each Outside Director will be paid a cash retainer of $35,000 per year. There are no per meeting attendance fees for attending Board meetings or meetings of any committee of the Board.</w:t>
      </w:r>
    </w:p>
    <w:p>
      <w:pPr>
        <w:spacing w:after="0" w:line="201" w:lineRule="exact"/>
        <w:rPr>
          <w:rFonts w:ascii="Arial" w:cs="Arial" w:eastAsia="Arial" w:hAnsi="Arial"/>
          <w:sz w:val="22"/>
          <w:szCs w:val="22"/>
          <w:color w:val="auto"/>
        </w:rPr>
      </w:pPr>
    </w:p>
    <w:p>
      <w:pPr>
        <w:jc w:val="both"/>
        <w:ind w:firstLine="1061"/>
        <w:spacing w:after="0" w:line="282" w:lineRule="auto"/>
        <w:tabs>
          <w:tab w:leader="none" w:pos="1377"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Additional Annual Cash Retainers for Service as Non-Employee Chair, Lead Independent Director, Committee Chair and Committee Member</w:t>
      </w:r>
      <w:r>
        <w:rPr>
          <w:rFonts w:ascii="Arial" w:cs="Arial" w:eastAsia="Arial" w:hAnsi="Arial"/>
          <w:sz w:val="19"/>
          <w:szCs w:val="19"/>
          <w:color w:val="auto"/>
        </w:rPr>
        <w:t>. As of the Effective Date, each Outside Director who serves as the Non-Employee Chair, Lead Independent Director, or chair or a member of a committee of the Board will be eligible to earn additional annual fees as follows:</w:t>
      </w: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283"/>
        </w:trPr>
        <w:tc>
          <w:tcPr>
            <w:tcW w:w="6440" w:type="dxa"/>
            <w:vAlign w:val="bottom"/>
            <w:shd w:val="clear" w:color="auto" w:fill="D9D9D9"/>
          </w:tcPr>
          <w:p>
            <w:pPr>
              <w:spacing w:after="0"/>
              <w:rPr>
                <w:sz w:val="20"/>
                <w:szCs w:val="20"/>
                <w:color w:val="auto"/>
              </w:rPr>
            </w:pPr>
            <w:r>
              <w:rPr>
                <w:rFonts w:ascii="Arial" w:cs="Arial" w:eastAsia="Arial" w:hAnsi="Arial"/>
                <w:sz w:val="22"/>
                <w:szCs w:val="22"/>
                <w:color w:val="auto"/>
              </w:rPr>
              <w:t>Non-Employee Chair:</w:t>
            </w:r>
          </w:p>
        </w:tc>
        <w:tc>
          <w:tcPr>
            <w:tcW w:w="3820" w:type="dxa"/>
            <w:vAlign w:val="bottom"/>
            <w:shd w:val="clear" w:color="auto" w:fill="D9D9D9"/>
          </w:tcPr>
          <w:p>
            <w:pPr>
              <w:jc w:val="right"/>
              <w:spacing w:after="0"/>
              <w:rPr>
                <w:sz w:val="20"/>
                <w:szCs w:val="20"/>
                <w:color w:val="auto"/>
              </w:rPr>
            </w:pPr>
            <w:r>
              <w:rPr>
                <w:rFonts w:ascii="Arial" w:cs="Arial" w:eastAsia="Arial" w:hAnsi="Arial"/>
                <w:sz w:val="22"/>
                <w:szCs w:val="22"/>
                <w:color w:val="auto"/>
              </w:rPr>
              <w:t>$40,000</w:t>
            </w:r>
          </w:p>
        </w:tc>
      </w:tr>
      <w:tr>
        <w:trPr>
          <w:trHeight w:val="282"/>
        </w:trPr>
        <w:tc>
          <w:tcPr>
            <w:tcW w:w="6440" w:type="dxa"/>
            <w:vAlign w:val="bottom"/>
          </w:tcPr>
          <w:p>
            <w:pPr>
              <w:spacing w:after="0"/>
              <w:rPr>
                <w:sz w:val="20"/>
                <w:szCs w:val="20"/>
                <w:color w:val="auto"/>
              </w:rPr>
            </w:pPr>
            <w:r>
              <w:rPr>
                <w:rFonts w:ascii="Arial" w:cs="Arial" w:eastAsia="Arial" w:hAnsi="Arial"/>
                <w:sz w:val="22"/>
                <w:szCs w:val="22"/>
                <w:color w:val="auto"/>
              </w:rPr>
              <w:t>Lead Independent Director:</w:t>
            </w:r>
          </w:p>
        </w:tc>
        <w:tc>
          <w:tcPr>
            <w:tcW w:w="3820" w:type="dxa"/>
            <w:vAlign w:val="bottom"/>
          </w:tcPr>
          <w:p>
            <w:pPr>
              <w:jc w:val="right"/>
              <w:spacing w:after="0"/>
              <w:rPr>
                <w:sz w:val="20"/>
                <w:szCs w:val="20"/>
                <w:color w:val="auto"/>
              </w:rPr>
            </w:pPr>
            <w:r>
              <w:rPr>
                <w:rFonts w:ascii="Arial" w:cs="Arial" w:eastAsia="Arial" w:hAnsi="Arial"/>
                <w:sz w:val="22"/>
                <w:szCs w:val="22"/>
                <w:color w:val="auto"/>
              </w:rPr>
              <w:t>$25,000</w:t>
            </w:r>
          </w:p>
        </w:tc>
      </w:tr>
      <w:tr>
        <w:trPr>
          <w:trHeight w:val="285"/>
        </w:trPr>
        <w:tc>
          <w:tcPr>
            <w:tcW w:w="6440" w:type="dxa"/>
            <w:vAlign w:val="bottom"/>
            <w:shd w:val="clear" w:color="auto" w:fill="D9D9D9"/>
          </w:tcPr>
          <w:p>
            <w:pPr>
              <w:spacing w:after="0"/>
              <w:rPr>
                <w:sz w:val="20"/>
                <w:szCs w:val="20"/>
                <w:color w:val="auto"/>
              </w:rPr>
            </w:pPr>
            <w:r>
              <w:rPr>
                <w:rFonts w:ascii="Arial" w:cs="Arial" w:eastAsia="Arial" w:hAnsi="Arial"/>
                <w:sz w:val="22"/>
                <w:szCs w:val="22"/>
                <w:color w:val="auto"/>
              </w:rPr>
              <w:t>Audit Committee Chair:</w:t>
            </w:r>
          </w:p>
        </w:tc>
        <w:tc>
          <w:tcPr>
            <w:tcW w:w="3820" w:type="dxa"/>
            <w:vAlign w:val="bottom"/>
            <w:shd w:val="clear" w:color="auto" w:fill="D9D9D9"/>
          </w:tcPr>
          <w:p>
            <w:pPr>
              <w:jc w:val="right"/>
              <w:spacing w:after="0"/>
              <w:rPr>
                <w:sz w:val="20"/>
                <w:szCs w:val="20"/>
                <w:color w:val="auto"/>
              </w:rPr>
            </w:pPr>
            <w:r>
              <w:rPr>
                <w:rFonts w:ascii="Arial" w:cs="Arial" w:eastAsia="Arial" w:hAnsi="Arial"/>
                <w:sz w:val="22"/>
                <w:szCs w:val="22"/>
                <w:color w:val="auto"/>
              </w:rPr>
              <w:t>$20,000</w:t>
            </w:r>
          </w:p>
        </w:tc>
      </w:tr>
      <w:tr>
        <w:trPr>
          <w:trHeight w:val="282"/>
        </w:trPr>
        <w:tc>
          <w:tcPr>
            <w:tcW w:w="6440" w:type="dxa"/>
            <w:vAlign w:val="bottom"/>
          </w:tcPr>
          <w:p>
            <w:pPr>
              <w:spacing w:after="0"/>
              <w:rPr>
                <w:sz w:val="20"/>
                <w:szCs w:val="20"/>
                <w:color w:val="auto"/>
              </w:rPr>
            </w:pPr>
            <w:r>
              <w:rPr>
                <w:rFonts w:ascii="Arial" w:cs="Arial" w:eastAsia="Arial" w:hAnsi="Arial"/>
                <w:sz w:val="22"/>
                <w:szCs w:val="22"/>
                <w:color w:val="auto"/>
              </w:rPr>
              <w:t>Member of Audit Committee:</w:t>
            </w:r>
          </w:p>
        </w:tc>
        <w:tc>
          <w:tcPr>
            <w:tcW w:w="3820" w:type="dxa"/>
            <w:vAlign w:val="bottom"/>
          </w:tcPr>
          <w:p>
            <w:pPr>
              <w:jc w:val="right"/>
              <w:spacing w:after="0"/>
              <w:rPr>
                <w:sz w:val="20"/>
                <w:szCs w:val="20"/>
                <w:color w:val="auto"/>
              </w:rPr>
            </w:pPr>
            <w:r>
              <w:rPr>
                <w:rFonts w:ascii="Arial" w:cs="Arial" w:eastAsia="Arial" w:hAnsi="Arial"/>
                <w:sz w:val="22"/>
                <w:szCs w:val="22"/>
                <w:color w:val="auto"/>
              </w:rPr>
              <w:t>$10,000</w:t>
            </w:r>
          </w:p>
        </w:tc>
      </w:tr>
      <w:tr>
        <w:trPr>
          <w:trHeight w:val="285"/>
        </w:trPr>
        <w:tc>
          <w:tcPr>
            <w:tcW w:w="6440" w:type="dxa"/>
            <w:vAlign w:val="bottom"/>
            <w:shd w:val="clear" w:color="auto" w:fill="D9D9D9"/>
          </w:tcPr>
          <w:p>
            <w:pPr>
              <w:spacing w:after="0"/>
              <w:rPr>
                <w:sz w:val="20"/>
                <w:szCs w:val="20"/>
                <w:color w:val="auto"/>
              </w:rPr>
            </w:pPr>
            <w:r>
              <w:rPr>
                <w:rFonts w:ascii="Arial" w:cs="Arial" w:eastAsia="Arial" w:hAnsi="Arial"/>
                <w:sz w:val="22"/>
                <w:szCs w:val="22"/>
                <w:color w:val="auto"/>
              </w:rPr>
              <w:t>Compensation Committee Chair:</w:t>
            </w:r>
          </w:p>
        </w:tc>
        <w:tc>
          <w:tcPr>
            <w:tcW w:w="3820" w:type="dxa"/>
            <w:vAlign w:val="bottom"/>
            <w:shd w:val="clear" w:color="auto" w:fill="D9D9D9"/>
          </w:tcPr>
          <w:p>
            <w:pPr>
              <w:jc w:val="right"/>
              <w:spacing w:after="0"/>
              <w:rPr>
                <w:sz w:val="20"/>
                <w:szCs w:val="20"/>
                <w:color w:val="auto"/>
              </w:rPr>
            </w:pPr>
            <w:r>
              <w:rPr>
                <w:rFonts w:ascii="Arial" w:cs="Arial" w:eastAsia="Arial" w:hAnsi="Arial"/>
                <w:sz w:val="22"/>
                <w:szCs w:val="22"/>
                <w:color w:val="auto"/>
              </w:rPr>
              <w:t>$15,000</w:t>
            </w:r>
          </w:p>
        </w:tc>
      </w:tr>
      <w:tr>
        <w:trPr>
          <w:trHeight w:val="280"/>
        </w:trPr>
        <w:tc>
          <w:tcPr>
            <w:tcW w:w="6440" w:type="dxa"/>
            <w:vAlign w:val="bottom"/>
          </w:tcPr>
          <w:p>
            <w:pPr>
              <w:spacing w:after="0"/>
              <w:rPr>
                <w:sz w:val="20"/>
                <w:szCs w:val="20"/>
                <w:color w:val="auto"/>
              </w:rPr>
            </w:pPr>
            <w:r>
              <w:rPr>
                <w:rFonts w:ascii="Arial" w:cs="Arial" w:eastAsia="Arial" w:hAnsi="Arial"/>
                <w:sz w:val="22"/>
                <w:szCs w:val="22"/>
                <w:color w:val="auto"/>
              </w:rPr>
              <w:t>Member of Compensation Committee:</w:t>
            </w:r>
          </w:p>
        </w:tc>
        <w:tc>
          <w:tcPr>
            <w:tcW w:w="3820" w:type="dxa"/>
            <w:vAlign w:val="bottom"/>
          </w:tcPr>
          <w:p>
            <w:pPr>
              <w:jc w:val="right"/>
              <w:spacing w:after="0"/>
              <w:rPr>
                <w:sz w:val="20"/>
                <w:szCs w:val="20"/>
                <w:color w:val="auto"/>
              </w:rPr>
            </w:pPr>
            <w:r>
              <w:rPr>
                <w:rFonts w:ascii="Arial" w:cs="Arial" w:eastAsia="Arial" w:hAnsi="Arial"/>
                <w:sz w:val="22"/>
                <w:szCs w:val="22"/>
                <w:color w:val="auto"/>
              </w:rPr>
              <w:t>$7,500</w:t>
            </w:r>
          </w:p>
        </w:tc>
      </w:tr>
    </w:tbl>
    <w:p>
      <w:pPr>
        <w:sectPr>
          <w:pgSz w:w="11900" w:h="16838" w:orient="portrait"/>
          <w:cols w:equalWidth="0" w:num="1">
            <w:col w:w="11240"/>
          </w:cols>
          <w:pgMar w:left="320" w:top="1413" w:right="339" w:bottom="1440" w:gutter="0" w:footer="0" w:header="0"/>
        </w:sectPr>
      </w:pPr>
    </w:p>
    <w:bookmarkStart w:id="178" w:name="page179"/>
    <w:bookmarkEnd w:id="178"/>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283"/>
        </w:trPr>
        <w:tc>
          <w:tcPr>
            <w:tcW w:w="7120" w:type="dxa"/>
            <w:vAlign w:val="bottom"/>
            <w:shd w:val="clear" w:color="auto" w:fill="D9D9D9"/>
          </w:tcPr>
          <w:p>
            <w:pPr>
              <w:spacing w:after="0"/>
              <w:rPr>
                <w:sz w:val="20"/>
                <w:szCs w:val="20"/>
                <w:color w:val="auto"/>
              </w:rPr>
            </w:pPr>
            <w:r>
              <w:rPr>
                <w:rFonts w:ascii="Arial" w:cs="Arial" w:eastAsia="Arial" w:hAnsi="Arial"/>
                <w:sz w:val="22"/>
                <w:szCs w:val="22"/>
                <w:color w:val="auto"/>
              </w:rPr>
              <w:t>Nominating and Governance Committee Chair:</w:t>
            </w:r>
          </w:p>
        </w:tc>
        <w:tc>
          <w:tcPr>
            <w:tcW w:w="3140" w:type="dxa"/>
            <w:vAlign w:val="bottom"/>
            <w:shd w:val="clear" w:color="auto" w:fill="D9D9D9"/>
          </w:tcPr>
          <w:p>
            <w:pPr>
              <w:jc w:val="right"/>
              <w:spacing w:after="0"/>
              <w:rPr>
                <w:sz w:val="20"/>
                <w:szCs w:val="20"/>
                <w:color w:val="auto"/>
              </w:rPr>
            </w:pPr>
            <w:r>
              <w:rPr>
                <w:rFonts w:ascii="Arial" w:cs="Arial" w:eastAsia="Arial" w:hAnsi="Arial"/>
                <w:sz w:val="22"/>
                <w:szCs w:val="22"/>
                <w:color w:val="auto"/>
              </w:rPr>
              <w:t>$8,000</w:t>
            </w:r>
          </w:p>
        </w:tc>
      </w:tr>
      <w:tr>
        <w:trPr>
          <w:trHeight w:val="280"/>
        </w:trPr>
        <w:tc>
          <w:tcPr>
            <w:tcW w:w="7120" w:type="dxa"/>
            <w:vAlign w:val="bottom"/>
          </w:tcPr>
          <w:p>
            <w:pPr>
              <w:spacing w:after="0"/>
              <w:rPr>
                <w:sz w:val="20"/>
                <w:szCs w:val="20"/>
                <w:color w:val="auto"/>
              </w:rPr>
            </w:pPr>
            <w:r>
              <w:rPr>
                <w:rFonts w:ascii="Arial" w:cs="Arial" w:eastAsia="Arial" w:hAnsi="Arial"/>
                <w:sz w:val="22"/>
                <w:szCs w:val="22"/>
                <w:color w:val="auto"/>
              </w:rPr>
              <w:t>Member of Nominating and Governance Committee:</w:t>
            </w:r>
          </w:p>
        </w:tc>
        <w:tc>
          <w:tcPr>
            <w:tcW w:w="3140" w:type="dxa"/>
            <w:vAlign w:val="bottom"/>
          </w:tcPr>
          <w:p>
            <w:pPr>
              <w:jc w:val="right"/>
              <w:spacing w:after="0"/>
              <w:rPr>
                <w:sz w:val="20"/>
                <w:szCs w:val="20"/>
                <w:color w:val="auto"/>
              </w:rPr>
            </w:pPr>
            <w:r>
              <w:rPr>
                <w:rFonts w:ascii="Arial" w:cs="Arial" w:eastAsia="Arial" w:hAnsi="Arial"/>
                <w:sz w:val="22"/>
                <w:szCs w:val="22"/>
                <w:color w:val="auto"/>
              </w:rPr>
              <w:t>$4,000</w:t>
            </w:r>
          </w:p>
        </w:tc>
      </w:tr>
    </w:tbl>
    <w:p>
      <w:pPr>
        <w:spacing w:after="0" w:line="32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Non-Employee Chair or the Lead Independent Director will receive the annual fee as an Outside Director and the additional annual fee as the Non-Employee Chair or the Lead Independent Director.</w:t>
      </w:r>
    </w:p>
    <w:p>
      <w:pPr>
        <w:spacing w:after="0" w:line="171" w:lineRule="exact"/>
        <w:rPr>
          <w:sz w:val="20"/>
          <w:szCs w:val="20"/>
          <w:color w:val="auto"/>
        </w:rPr>
      </w:pPr>
    </w:p>
    <w:p>
      <w:pPr>
        <w:jc w:val="both"/>
        <w:ind w:firstLine="1061"/>
        <w:spacing w:after="0" w:line="232" w:lineRule="auto"/>
        <w:tabs>
          <w:tab w:leader="none" w:pos="1365" w:val="left"/>
        </w:tabs>
        <w:numPr>
          <w:ilvl w:val="1"/>
          <w:numId w:val="71"/>
        </w:numPr>
        <w:rPr>
          <w:rFonts w:ascii="Arial" w:cs="Arial" w:eastAsia="Arial" w:hAnsi="Arial"/>
          <w:sz w:val="21"/>
          <w:szCs w:val="21"/>
          <w:color w:val="auto"/>
        </w:rPr>
      </w:pPr>
      <w:r>
        <w:rPr>
          <w:rFonts w:ascii="Arial" w:cs="Arial" w:eastAsia="Arial" w:hAnsi="Arial"/>
          <w:sz w:val="21"/>
          <w:szCs w:val="21"/>
          <w:u w:val="single" w:color="auto"/>
          <w:color w:val="auto"/>
        </w:rPr>
        <w:t>Payments</w:t>
      </w:r>
      <w:r>
        <w:rPr>
          <w:rFonts w:ascii="Arial" w:cs="Arial" w:eastAsia="Arial" w:hAnsi="Arial"/>
          <w:sz w:val="21"/>
          <w:szCs w:val="21"/>
          <w:color w:val="auto"/>
        </w:rPr>
        <w:t>. Each annual cash retainer under this Policy will be paid annually in arrears on a prorated basis to each Outside Director who has served in the relevant capacity at any point during the immediately preceding calendar year, and such payment will be made no later than 30 days following the end of such immediately preceding calendar year. For purposes of clarity, an Outside Director who has served as an Outside Director, as a member of an applicable committee (or chair thereof) during only a portion of the relevant calendar year will receive a prorated payment of the annual payment of the applicable annual cash retainer(s), calculated based on the number of days during such calendar year such Outside Director has served in the relevant capacities. For purposes of clarity, an Outside Director who has served as an Outside Director, as a member of an applicable committee (or chair thereof), as applicable, from the Effective Date through the end of the calendar year containing the Effective Date (the “</w:t>
      </w:r>
      <w:r>
        <w:rPr>
          <w:rFonts w:ascii="Arial" w:cs="Arial" w:eastAsia="Arial" w:hAnsi="Arial"/>
          <w:sz w:val="21"/>
          <w:szCs w:val="21"/>
          <w:u w:val="single" w:color="auto"/>
          <w:color w:val="auto"/>
        </w:rPr>
        <w:t>Initial Period</w:t>
      </w:r>
      <w:r>
        <w:rPr>
          <w:rFonts w:ascii="Arial" w:cs="Arial" w:eastAsia="Arial" w:hAnsi="Arial"/>
          <w:sz w:val="21"/>
          <w:szCs w:val="21"/>
          <w:color w:val="auto"/>
        </w:rPr>
        <w:t>”) will receive a prorated payment of the annual payment of the applicable annual cash retainer(s), calculated based on the number of days during the Initial Period that such Outside Director has served in the relevant capacities.</w:t>
      </w:r>
    </w:p>
    <w:p>
      <w:pPr>
        <w:spacing w:after="0" w:line="193" w:lineRule="exact"/>
        <w:rPr>
          <w:rFonts w:ascii="Arial" w:cs="Arial" w:eastAsia="Arial" w:hAnsi="Arial"/>
          <w:sz w:val="21"/>
          <w:szCs w:val="21"/>
          <w:color w:val="auto"/>
        </w:rPr>
      </w:pPr>
    </w:p>
    <w:p>
      <w:pPr>
        <w:ind w:left="980" w:hanging="567"/>
        <w:spacing w:after="0"/>
        <w:tabs>
          <w:tab w:leader="none" w:pos="980"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Elections To Receive Restricted Stock Units in Lieu of Annual Cash Retainer Payments</w:t>
      </w:r>
    </w:p>
    <w:p>
      <w:pPr>
        <w:spacing w:after="0" w:line="225" w:lineRule="exact"/>
        <w:rPr>
          <w:rFonts w:ascii="Arial" w:cs="Arial" w:eastAsia="Arial" w:hAnsi="Arial"/>
          <w:sz w:val="22"/>
          <w:szCs w:val="22"/>
          <w:color w:val="auto"/>
        </w:rPr>
      </w:pPr>
    </w:p>
    <w:p>
      <w:pPr>
        <w:jc w:val="both"/>
        <w:ind w:firstLine="1061"/>
        <w:spacing w:after="0" w:line="267" w:lineRule="auto"/>
        <w:tabs>
          <w:tab w:leader="none" w:pos="1365" w:val="left"/>
        </w:tabs>
        <w:numPr>
          <w:ilvl w:val="1"/>
          <w:numId w:val="72"/>
        </w:numPr>
        <w:rPr>
          <w:rFonts w:ascii="Arial" w:cs="Arial" w:eastAsia="Arial" w:hAnsi="Arial"/>
          <w:sz w:val="19"/>
          <w:szCs w:val="19"/>
          <w:color w:val="auto"/>
        </w:rPr>
      </w:pPr>
      <w:r>
        <w:rPr>
          <w:rFonts w:ascii="Arial" w:cs="Arial" w:eastAsia="Arial" w:hAnsi="Arial"/>
          <w:sz w:val="19"/>
          <w:szCs w:val="19"/>
          <w:u w:val="single" w:color="auto"/>
          <w:color w:val="auto"/>
        </w:rPr>
        <w:t>Retainer Awards</w:t>
      </w:r>
      <w:r>
        <w:rPr>
          <w:rFonts w:ascii="Arial" w:cs="Arial" w:eastAsia="Arial" w:hAnsi="Arial"/>
          <w:sz w:val="19"/>
          <w:szCs w:val="19"/>
          <w:color w:val="auto"/>
        </w:rPr>
        <w:t>. Each Outside Director may elect to convert all or a portion of his or her annual cash retainer payments into a number of Restricted Stock Units (“</w:t>
      </w:r>
      <w:r>
        <w:rPr>
          <w:rFonts w:ascii="Arial" w:cs="Arial" w:eastAsia="Arial" w:hAnsi="Arial"/>
          <w:sz w:val="19"/>
          <w:szCs w:val="19"/>
          <w:u w:val="single" w:color="auto"/>
          <w:color w:val="auto"/>
        </w:rPr>
        <w:t>Retainer RSUs</w:t>
      </w:r>
      <w:r>
        <w:rPr>
          <w:rFonts w:ascii="Arial" w:cs="Arial" w:eastAsia="Arial" w:hAnsi="Arial"/>
          <w:sz w:val="19"/>
          <w:szCs w:val="19"/>
          <w:color w:val="auto"/>
        </w:rPr>
        <w:t>”, and an Award of such Retainer RSUs, a “</w:t>
      </w:r>
      <w:r>
        <w:rPr>
          <w:rFonts w:ascii="Arial" w:cs="Arial" w:eastAsia="Arial" w:hAnsi="Arial"/>
          <w:sz w:val="19"/>
          <w:szCs w:val="19"/>
          <w:u w:val="single" w:color="auto"/>
          <w:color w:val="auto"/>
        </w:rPr>
        <w:t>Retainer Award</w:t>
      </w:r>
      <w:r>
        <w:rPr>
          <w:rFonts w:ascii="Arial" w:cs="Arial" w:eastAsia="Arial" w:hAnsi="Arial"/>
          <w:sz w:val="19"/>
          <w:szCs w:val="19"/>
          <w:color w:val="auto"/>
        </w:rPr>
        <w:t>”) with a Value on the date of grant equal to the amount of the applicable annual cash retainer payment to which the Retainer Award relates, provided that any resulting fraction shall be rounded down to the nearest whole Share (such election, a “</w:t>
      </w:r>
      <w:r>
        <w:rPr>
          <w:rFonts w:ascii="Arial" w:cs="Arial" w:eastAsia="Arial" w:hAnsi="Arial"/>
          <w:sz w:val="19"/>
          <w:szCs w:val="19"/>
          <w:u w:val="single" w:color="auto"/>
          <w:color w:val="auto"/>
        </w:rPr>
        <w:t>Retainer RSU</w:t>
      </w:r>
      <w:r>
        <w:rPr>
          <w:rFonts w:ascii="Arial" w:cs="Arial" w:eastAsia="Arial" w:hAnsi="Arial"/>
          <w:sz w:val="19"/>
          <w:szCs w:val="19"/>
          <w:color w:val="auto"/>
        </w:rPr>
        <w:t xml:space="preserve"> </w:t>
      </w:r>
      <w:r>
        <w:rPr>
          <w:rFonts w:ascii="Arial" w:cs="Arial" w:eastAsia="Arial" w:hAnsi="Arial"/>
          <w:sz w:val="19"/>
          <w:szCs w:val="19"/>
          <w:u w:val="single" w:color="auto"/>
          <w:color w:val="auto"/>
        </w:rPr>
        <w:t>Election</w:t>
      </w:r>
      <w:r>
        <w:rPr>
          <w:rFonts w:ascii="Arial" w:cs="Arial" w:eastAsia="Arial" w:hAnsi="Arial"/>
          <w:sz w:val="19"/>
          <w:szCs w:val="19"/>
          <w:color w:val="auto"/>
        </w:rPr>
        <w:t>”). Retainer Awards shall be subject to certain terms and conditions as provided for in Section 3, below.</w:t>
      </w:r>
    </w:p>
    <w:p>
      <w:pPr>
        <w:spacing w:after="0" w:line="175" w:lineRule="exact"/>
        <w:rPr>
          <w:rFonts w:ascii="Arial" w:cs="Arial" w:eastAsia="Arial" w:hAnsi="Arial"/>
          <w:sz w:val="19"/>
          <w:szCs w:val="19"/>
          <w:color w:val="auto"/>
        </w:rPr>
      </w:pPr>
    </w:p>
    <w:p>
      <w:pPr>
        <w:jc w:val="both"/>
        <w:ind w:firstLine="1061"/>
        <w:spacing w:after="0" w:line="228" w:lineRule="auto"/>
        <w:tabs>
          <w:tab w:leader="none" w:pos="1377"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Retainer RSU Election Mechanics</w:t>
      </w:r>
      <w:r>
        <w:rPr>
          <w:rFonts w:ascii="Arial" w:cs="Arial" w:eastAsia="Arial" w:hAnsi="Arial"/>
          <w:sz w:val="22"/>
          <w:szCs w:val="22"/>
          <w:color w:val="auto"/>
        </w:rPr>
        <w:t>. Each Retainer RSU Election must be submitted to Stock Administration in the form and manner specified by the Board or Compensation Committee. An individual who fails to make a timely Retainer RSU Election shall not receive a Retainer Award and instead shall receive the applicable annual cash retainer payments. Retainer RSU Elections must comply with the following timing requirements:</w:t>
      </w:r>
    </w:p>
    <w:p>
      <w:pPr>
        <w:spacing w:after="0" w:line="199" w:lineRule="exact"/>
        <w:rPr>
          <w:rFonts w:ascii="Arial" w:cs="Arial" w:eastAsia="Arial" w:hAnsi="Arial"/>
          <w:sz w:val="22"/>
          <w:szCs w:val="22"/>
          <w:color w:val="auto"/>
        </w:rPr>
      </w:pPr>
    </w:p>
    <w:p>
      <w:pPr>
        <w:jc w:val="both"/>
        <w:ind w:firstLine="1595"/>
        <w:spacing w:after="0" w:line="228" w:lineRule="auto"/>
        <w:tabs>
          <w:tab w:leader="none" w:pos="2025" w:val="left"/>
        </w:tabs>
        <w:numPr>
          <w:ilvl w:val="2"/>
          <w:numId w:val="72"/>
        </w:numPr>
        <w:rPr>
          <w:rFonts w:ascii="Arial" w:cs="Arial" w:eastAsia="Arial" w:hAnsi="Arial"/>
          <w:sz w:val="22"/>
          <w:szCs w:val="22"/>
          <w:color w:val="auto"/>
        </w:rPr>
      </w:pPr>
      <w:r>
        <w:rPr>
          <w:rFonts w:ascii="Arial" w:cs="Arial" w:eastAsia="Arial" w:hAnsi="Arial"/>
          <w:sz w:val="22"/>
          <w:szCs w:val="22"/>
          <w:u w:val="single" w:color="auto"/>
          <w:color w:val="auto"/>
        </w:rPr>
        <w:t>Initial Election</w:t>
      </w:r>
      <w:r>
        <w:rPr>
          <w:rFonts w:ascii="Arial" w:cs="Arial" w:eastAsia="Arial" w:hAnsi="Arial"/>
          <w:sz w:val="22"/>
          <w:szCs w:val="22"/>
          <w:color w:val="auto"/>
        </w:rPr>
        <w:t>. Each individual who first becomes an Outside Director may make a Retainer RSU Election with respect to annual cash retainer payments scheduled to be paid in the same calendar year as such individual first becomes an Outside Director (the “</w:t>
      </w:r>
      <w:r>
        <w:rPr>
          <w:rFonts w:ascii="Arial" w:cs="Arial" w:eastAsia="Arial" w:hAnsi="Arial"/>
          <w:sz w:val="22"/>
          <w:szCs w:val="22"/>
          <w:u w:val="single" w:color="auto"/>
          <w:color w:val="auto"/>
        </w:rPr>
        <w:t>Initial Election</w:t>
      </w:r>
      <w:r>
        <w:rPr>
          <w:rFonts w:ascii="Arial" w:cs="Arial" w:eastAsia="Arial" w:hAnsi="Arial"/>
          <w:sz w:val="22"/>
          <w:szCs w:val="22"/>
          <w:color w:val="auto"/>
        </w:rPr>
        <w:t>”). The Initial Election must be submitted to Stock Administration on or prior to the date</w:t>
      </w:r>
    </w:p>
    <w:p>
      <w:pPr>
        <w:sectPr>
          <w:pgSz w:w="11900" w:h="16838" w:orient="portrait"/>
          <w:cols w:equalWidth="0" w:num="1">
            <w:col w:w="11240"/>
          </w:cols>
          <w:pgMar w:left="320" w:top="1440" w:right="339" w:bottom="1440" w:gutter="0" w:footer="0" w:header="0"/>
        </w:sectPr>
      </w:pPr>
    </w:p>
    <w:bookmarkStart w:id="179" w:name="page180"/>
    <w:bookmarkEnd w:id="179"/>
    <w:p>
      <w:pPr>
        <w:ind w:right="20"/>
        <w:spacing w:after="0" w:line="239" w:lineRule="auto"/>
        <w:rPr>
          <w:sz w:val="20"/>
          <w:szCs w:val="20"/>
          <w:color w:val="auto"/>
        </w:rPr>
      </w:pPr>
      <w:r>
        <w:rPr>
          <w:rFonts w:ascii="Arial" w:cs="Arial" w:eastAsia="Arial" w:hAnsi="Arial"/>
          <w:sz w:val="22"/>
          <w:szCs w:val="22"/>
          <w:color w:val="auto"/>
        </w:rPr>
        <w:t>that the individual first becomes an Outside Director (the “</w:t>
      </w:r>
      <w:r>
        <w:rPr>
          <w:rFonts w:ascii="Arial" w:cs="Arial" w:eastAsia="Arial" w:hAnsi="Arial"/>
          <w:sz w:val="22"/>
          <w:szCs w:val="22"/>
          <w:u w:val="single" w:color="auto"/>
          <w:color w:val="auto"/>
        </w:rPr>
        <w:t>Initial Election Deadline</w:t>
      </w:r>
      <w:r>
        <w:rPr>
          <w:rFonts w:ascii="Arial" w:cs="Arial" w:eastAsia="Arial" w:hAnsi="Arial"/>
          <w:sz w:val="22"/>
          <w:szCs w:val="22"/>
          <w:color w:val="auto"/>
        </w:rPr>
        <w:t>”), and the Initial Election shall become irrevocable effective as of the Initial Election Deadline.</w:t>
      </w:r>
    </w:p>
    <w:p>
      <w:pPr>
        <w:spacing w:after="0" w:line="198" w:lineRule="exact"/>
        <w:rPr>
          <w:sz w:val="20"/>
          <w:szCs w:val="20"/>
          <w:color w:val="auto"/>
        </w:rPr>
      </w:pPr>
    </w:p>
    <w:p>
      <w:pPr>
        <w:jc w:val="both"/>
        <w:ind w:firstLine="1535"/>
        <w:spacing w:after="0" w:line="260" w:lineRule="auto"/>
        <w:tabs>
          <w:tab w:leader="none" w:pos="2025" w:val="left"/>
        </w:tabs>
        <w:numPr>
          <w:ilvl w:val="2"/>
          <w:numId w:val="73"/>
        </w:numPr>
        <w:rPr>
          <w:rFonts w:ascii="Arial" w:cs="Arial" w:eastAsia="Arial" w:hAnsi="Arial"/>
          <w:sz w:val="19"/>
          <w:szCs w:val="19"/>
          <w:color w:val="auto"/>
        </w:rPr>
      </w:pPr>
      <w:r>
        <w:rPr>
          <w:rFonts w:ascii="Arial" w:cs="Arial" w:eastAsia="Arial" w:hAnsi="Arial"/>
          <w:sz w:val="19"/>
          <w:szCs w:val="19"/>
          <w:u w:val="single" w:color="auto"/>
          <w:color w:val="auto"/>
        </w:rPr>
        <w:t>Annual Election</w:t>
      </w:r>
      <w:r>
        <w:rPr>
          <w:rFonts w:ascii="Arial" w:cs="Arial" w:eastAsia="Arial" w:hAnsi="Arial"/>
          <w:sz w:val="19"/>
          <w:szCs w:val="19"/>
          <w:color w:val="auto"/>
        </w:rPr>
        <w:t>. Subject to the last sentence of this paragraph, by no later than December 31 of each calendar year, or such earlier deadline as may be established by the Board or the Compensation Committee, in its discretion (the “</w:t>
      </w:r>
      <w:r>
        <w:rPr>
          <w:rFonts w:ascii="Arial" w:cs="Arial" w:eastAsia="Arial" w:hAnsi="Arial"/>
          <w:sz w:val="19"/>
          <w:szCs w:val="19"/>
          <w:u w:val="single" w:color="auto"/>
          <w:color w:val="auto"/>
        </w:rPr>
        <w:t>Annual Election Deadline</w:t>
      </w:r>
      <w:r>
        <w:rPr>
          <w:rFonts w:ascii="Arial" w:cs="Arial" w:eastAsia="Arial" w:hAnsi="Arial"/>
          <w:sz w:val="19"/>
          <w:szCs w:val="19"/>
          <w:color w:val="auto"/>
        </w:rPr>
        <w:t>”), each individual who is an Outside Director as of immediately prior to the Annual Election Deadline may make a Retainer RSU Election with respect to annual cash retainer payments relating to services to be performed in the following calendar year and otherwise scheduled to be paid following the completion of those services (the “</w:t>
      </w:r>
      <w:r>
        <w:rPr>
          <w:rFonts w:ascii="Arial" w:cs="Arial" w:eastAsia="Arial" w:hAnsi="Arial"/>
          <w:sz w:val="19"/>
          <w:szCs w:val="19"/>
          <w:u w:val="single" w:color="auto"/>
          <w:color w:val="auto"/>
        </w:rPr>
        <w:t>Annual</w:t>
      </w:r>
      <w:r>
        <w:rPr>
          <w:rFonts w:ascii="Arial" w:cs="Arial" w:eastAsia="Arial" w:hAnsi="Arial"/>
          <w:sz w:val="19"/>
          <w:szCs w:val="19"/>
          <w:color w:val="auto"/>
        </w:rPr>
        <w:t xml:space="preserve"> </w:t>
      </w:r>
      <w:r>
        <w:rPr>
          <w:rFonts w:ascii="Arial" w:cs="Arial" w:eastAsia="Arial" w:hAnsi="Arial"/>
          <w:sz w:val="19"/>
          <w:szCs w:val="19"/>
          <w:u w:val="single" w:color="auto"/>
          <w:color w:val="auto"/>
        </w:rPr>
        <w:t>Election</w:t>
      </w:r>
      <w:r>
        <w:rPr>
          <w:rFonts w:ascii="Arial" w:cs="Arial" w:eastAsia="Arial" w:hAnsi="Arial"/>
          <w:sz w:val="19"/>
          <w:szCs w:val="19"/>
          <w:color w:val="auto"/>
        </w:rPr>
        <w:t>”). The Annual Election must be submitted to Stock Administration on or prior to the applicable Annual Election Deadline and shall become irrevocable effective as of the Annual Election Deadline. For avoidance of doubt, the Annual Election Deadline hereunder for annual cash retainer payments earned for service in 2021 shall be December 31, 2020.</w:t>
      </w:r>
    </w:p>
    <w:p>
      <w:pPr>
        <w:spacing w:after="0" w:line="185" w:lineRule="exact"/>
        <w:rPr>
          <w:rFonts w:ascii="Arial" w:cs="Arial" w:eastAsia="Arial" w:hAnsi="Arial"/>
          <w:sz w:val="19"/>
          <w:szCs w:val="19"/>
          <w:color w:val="auto"/>
        </w:rPr>
      </w:pPr>
    </w:p>
    <w:p>
      <w:pPr>
        <w:jc w:val="both"/>
        <w:ind w:firstLine="1061"/>
        <w:spacing w:after="0" w:line="235" w:lineRule="auto"/>
        <w:tabs>
          <w:tab w:leader="none" w:pos="1365"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Termination Prior to Date of Grant of Retainer Award</w:t>
      </w:r>
      <w:r>
        <w:rPr>
          <w:rFonts w:ascii="Arial" w:cs="Arial" w:eastAsia="Arial" w:hAnsi="Arial"/>
          <w:sz w:val="21"/>
          <w:szCs w:val="21"/>
          <w:color w:val="auto"/>
        </w:rPr>
        <w:t>. If an Outside Director who has made a valid Retainer RSU Election ceases to be an Outside Director prior to the applicable grant date of the Retainer Award to which the Retainer RSU Election relates, as specified in Section 3 of this Policy, the Retainer RSU Election will be treated as cancelled, and the Outside Director will be eligible to receive a prorated payment of the annual payment of the Outside Director’s applicable annual cash retainer(s), calculated based on the number of days during the applicable calendar year the Outside Director served in the relevant capacities, in accordance with Section 1(c) of this Policy.</w:t>
      </w:r>
    </w:p>
    <w:p>
      <w:pPr>
        <w:spacing w:after="0" w:line="195" w:lineRule="exact"/>
        <w:rPr>
          <w:rFonts w:ascii="Arial" w:cs="Arial" w:eastAsia="Arial" w:hAnsi="Arial"/>
          <w:sz w:val="21"/>
          <w:szCs w:val="21"/>
          <w:color w:val="auto"/>
        </w:rPr>
      </w:pPr>
    </w:p>
    <w:p>
      <w:pPr>
        <w:ind w:left="980" w:hanging="567"/>
        <w:spacing w:after="0"/>
        <w:tabs>
          <w:tab w:leader="none" w:pos="980" w:val="left"/>
        </w:tabs>
        <w:numPr>
          <w:ilvl w:val="0"/>
          <w:numId w:val="75"/>
        </w:numPr>
        <w:rPr>
          <w:rFonts w:ascii="Arial" w:cs="Arial" w:eastAsia="Arial" w:hAnsi="Arial"/>
          <w:sz w:val="22"/>
          <w:szCs w:val="22"/>
          <w:color w:val="auto"/>
        </w:rPr>
      </w:pPr>
      <w:r>
        <w:rPr>
          <w:rFonts w:ascii="Arial" w:cs="Arial" w:eastAsia="Arial" w:hAnsi="Arial"/>
          <w:sz w:val="22"/>
          <w:szCs w:val="22"/>
          <w:b w:val="1"/>
          <w:bCs w:val="1"/>
          <w:u w:val="single" w:color="auto"/>
          <w:color w:val="auto"/>
        </w:rPr>
        <w:t>Equity Compensation</w:t>
      </w:r>
    </w:p>
    <w:p>
      <w:pPr>
        <w:spacing w:after="0" w:line="226" w:lineRule="exact"/>
        <w:rPr>
          <w:sz w:val="20"/>
          <w:szCs w:val="20"/>
          <w:color w:val="auto"/>
        </w:rPr>
      </w:pPr>
    </w:p>
    <w:p>
      <w:pPr>
        <w:jc w:val="both"/>
        <w:ind w:firstLine="1053"/>
        <w:spacing w:after="0" w:line="228" w:lineRule="auto"/>
        <w:rPr>
          <w:sz w:val="20"/>
          <w:szCs w:val="20"/>
          <w:color w:val="auto"/>
        </w:rPr>
      </w:pPr>
      <w:r>
        <w:rPr>
          <w:rFonts w:ascii="Arial" w:cs="Arial" w:eastAsia="Arial" w:hAnsi="Arial"/>
          <w:sz w:val="22"/>
          <w:szCs w:val="22"/>
          <w:color w:val="auto"/>
        </w:rPr>
        <w:t>Outside Directors will be eligible to receive all types of Awards (except Incentive Stock Options) under the Plan, including discretionary Awards not covered under this Policy. All grants of Awards to Outside Directors pursuant to Section 3 of this Policy will be automatic and nondiscretionary, except as otherwise provided herein, and will be made in accordance with the following provisions:</w:t>
      </w:r>
    </w:p>
    <w:p>
      <w:pPr>
        <w:spacing w:after="0" w:line="200" w:lineRule="exact"/>
        <w:rPr>
          <w:sz w:val="20"/>
          <w:szCs w:val="20"/>
          <w:color w:val="auto"/>
        </w:rPr>
      </w:pPr>
    </w:p>
    <w:p>
      <w:pPr>
        <w:jc w:val="both"/>
        <w:ind w:firstLine="1061"/>
        <w:spacing w:after="0" w:line="231" w:lineRule="auto"/>
        <w:tabs>
          <w:tab w:leader="none" w:pos="1365"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No Discretion</w:t>
      </w:r>
      <w:r>
        <w:rPr>
          <w:rFonts w:ascii="Arial" w:cs="Arial" w:eastAsia="Arial" w:hAnsi="Arial"/>
          <w:sz w:val="22"/>
          <w:szCs w:val="22"/>
          <w:color w:val="auto"/>
        </w:rPr>
        <w:t>. No person will have any discretion to select which Outside Directors will be granted any Awards under this Policy or to determine the number of Shares to be covered by such Awards, except as provided in Sections 3(e)(iii) and 10 below.</w:t>
      </w:r>
    </w:p>
    <w:p>
      <w:pPr>
        <w:spacing w:after="0" w:line="201" w:lineRule="exact"/>
        <w:rPr>
          <w:rFonts w:ascii="Arial" w:cs="Arial" w:eastAsia="Arial" w:hAnsi="Arial"/>
          <w:sz w:val="22"/>
          <w:szCs w:val="22"/>
          <w:color w:val="auto"/>
        </w:rPr>
      </w:pPr>
    </w:p>
    <w:p>
      <w:pPr>
        <w:jc w:val="both"/>
        <w:ind w:firstLine="1061"/>
        <w:spacing w:after="0" w:line="222" w:lineRule="auto"/>
        <w:tabs>
          <w:tab w:leader="none" w:pos="1377"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Initial Awards</w:t>
      </w:r>
      <w:r>
        <w:rPr>
          <w:rFonts w:ascii="Arial" w:cs="Arial" w:eastAsia="Arial" w:hAnsi="Arial"/>
          <w:sz w:val="22"/>
          <w:szCs w:val="22"/>
          <w:color w:val="auto"/>
        </w:rPr>
        <w:t>. Each individual who first becomes an Outside Director following the Effective Date will be granted an award of Restricted Stock Units (an “</w:t>
      </w:r>
      <w:r>
        <w:rPr>
          <w:rFonts w:ascii="Arial" w:cs="Arial" w:eastAsia="Arial" w:hAnsi="Arial"/>
          <w:sz w:val="22"/>
          <w:szCs w:val="22"/>
          <w:u w:val="single" w:color="auto"/>
          <w:color w:val="auto"/>
        </w:rPr>
        <w:t>Initial Award</w:t>
      </w:r>
      <w:r>
        <w:rPr>
          <w:rFonts w:ascii="Arial" w:cs="Arial" w:eastAsia="Arial" w:hAnsi="Arial"/>
          <w:sz w:val="22"/>
          <w:szCs w:val="22"/>
          <w:color w:val="auto"/>
        </w:rPr>
        <w:t>”) covering a number of Shares having a Value (as defined below) of $165,000, with any resulting fraction rounded down to the nearest whole Share. The Initial Award will be granted automatically on the first Trading Day on or after the date on which such individual first becomes an Outside Director (the first date as an Outside Director, the “</w:t>
      </w:r>
      <w:r>
        <w:rPr>
          <w:rFonts w:ascii="Arial" w:cs="Arial" w:eastAsia="Arial" w:hAnsi="Arial"/>
          <w:sz w:val="22"/>
          <w:szCs w:val="22"/>
          <w:u w:val="single" w:color="auto"/>
          <w:color w:val="auto"/>
        </w:rPr>
        <w:t>Initial Start Date</w:t>
      </w:r>
      <w:r>
        <w:rPr>
          <w:rFonts w:ascii="Arial" w:cs="Arial" w:eastAsia="Arial" w:hAnsi="Arial"/>
          <w:sz w:val="22"/>
          <w:szCs w:val="22"/>
          <w:color w:val="auto"/>
        </w:rPr>
        <w:t>”), whether through election by the Company’s stockholders or appointment by the Board to fill a vacancy. If an individual was a member of the Board and also an employee, becoming an Outside Director due to termination of employment will not entitle the Outside Director to an Initial Award. Each Initial Award will be scheduled to vest as follows: 100% of the Shares subject to the Initial Award will be scheduled to vest on the 1-year anniversary of the Outside Director’s Initial Start</w:t>
      </w:r>
    </w:p>
    <w:p>
      <w:pPr>
        <w:sectPr>
          <w:pgSz w:w="11900" w:h="16838" w:orient="portrait"/>
          <w:cols w:equalWidth="0" w:num="1">
            <w:col w:w="11240"/>
          </w:cols>
          <w:pgMar w:left="320" w:top="1414" w:right="3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Date, subject to the Outside Director continuing to be an Outside Director through the applicable vesting date.</w:t>
      </w:r>
    </w:p>
    <w:p>
      <w:pPr>
        <w:spacing w:after="0" w:line="220" w:lineRule="exact"/>
        <w:rPr>
          <w:sz w:val="20"/>
          <w:szCs w:val="20"/>
          <w:color w:val="auto"/>
        </w:rPr>
      </w:pPr>
    </w:p>
    <w:p>
      <w:pPr>
        <w:jc w:val="both"/>
        <w:ind w:firstLine="1061"/>
        <w:spacing w:after="0" w:line="232" w:lineRule="auto"/>
        <w:tabs>
          <w:tab w:leader="none" w:pos="1365"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Annual Award</w:t>
      </w:r>
      <w:r>
        <w:rPr>
          <w:rFonts w:ascii="Arial" w:cs="Arial" w:eastAsia="Arial" w:hAnsi="Arial"/>
          <w:sz w:val="21"/>
          <w:szCs w:val="21"/>
          <w:color w:val="auto"/>
        </w:rPr>
        <w:t>. On the first Trading Day immediately following each Annual Meeting of the Company’s stockholders (an “</w:t>
      </w:r>
      <w:r>
        <w:rPr>
          <w:rFonts w:ascii="Arial" w:cs="Arial" w:eastAsia="Arial" w:hAnsi="Arial"/>
          <w:sz w:val="21"/>
          <w:szCs w:val="21"/>
          <w:u w:val="single" w:color="auto"/>
          <w:color w:val="auto"/>
        </w:rPr>
        <w:t>Annual Meeting</w:t>
      </w:r>
      <w:r>
        <w:rPr>
          <w:rFonts w:ascii="Arial" w:cs="Arial" w:eastAsia="Arial" w:hAnsi="Arial"/>
          <w:sz w:val="21"/>
          <w:szCs w:val="21"/>
          <w:color w:val="auto"/>
        </w:rPr>
        <w:t>”) that occurs after the Effective Date, each Outside Director automatically will be granted an award of Restricted Stock Units (an “</w:t>
      </w:r>
      <w:r>
        <w:rPr>
          <w:rFonts w:ascii="Arial" w:cs="Arial" w:eastAsia="Arial" w:hAnsi="Arial"/>
          <w:sz w:val="21"/>
          <w:szCs w:val="21"/>
          <w:u w:val="single" w:color="auto"/>
          <w:color w:val="auto"/>
        </w:rPr>
        <w:t>Annual Award</w:t>
      </w:r>
      <w:r>
        <w:rPr>
          <w:rFonts w:ascii="Arial" w:cs="Arial" w:eastAsia="Arial" w:hAnsi="Arial"/>
          <w:sz w:val="21"/>
          <w:szCs w:val="21"/>
          <w:color w:val="auto"/>
        </w:rPr>
        <w:t>”) covering a number of Shares having a Value of $165,000; provided that the first Annual Award granted to an individual who first becomes an Outside Director following the Effective Date will have a Value equal to the product of (A) $165,000 multiplied by (B) a fraction, (i) the numerator of which is the number of fully completed days between the applicable Initial Start Date and the date of the first Annual Meeting to occur after such individual first becomes an Outside Director, and (ii) the denominator of which is 365; and provided further that any resulting fraction shall be rounded down to the nearest whole Share. Each Annual Award will be scheduled to vest on the earlier of (x) the 1-year anniversary of the Annual Award’s grant date, or (y) the day immediately before the date of the next Annual Meeting following the Annual Award’s grant date, in each case, subject to the Outside Director continuing to be an Outside Director through the applicable vesting date.</w:t>
      </w:r>
    </w:p>
    <w:p>
      <w:pPr>
        <w:spacing w:after="0" w:line="199" w:lineRule="exact"/>
        <w:rPr>
          <w:rFonts w:ascii="Arial" w:cs="Arial" w:eastAsia="Arial" w:hAnsi="Arial"/>
          <w:sz w:val="21"/>
          <w:szCs w:val="21"/>
          <w:color w:val="auto"/>
        </w:rPr>
      </w:pPr>
    </w:p>
    <w:p>
      <w:pPr>
        <w:jc w:val="both"/>
        <w:ind w:firstLine="1061"/>
        <w:spacing w:after="0" w:line="239" w:lineRule="auto"/>
        <w:tabs>
          <w:tab w:leader="none" w:pos="1377"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Retainer Awards</w:t>
      </w:r>
      <w:r>
        <w:rPr>
          <w:rFonts w:ascii="Arial" w:cs="Arial" w:eastAsia="Arial" w:hAnsi="Arial"/>
          <w:sz w:val="21"/>
          <w:szCs w:val="21"/>
          <w:color w:val="auto"/>
        </w:rPr>
        <w:t>. Subject to Section 2(c) of this Policy, Retainer Awards will be granted on January 10 immediately following the end of the calendar year for which the corresponding annual cash retainer payment was earned, except that if such date is not a trading day, the associated grant of the applicable Retainer Award shall occur on the next trading day following such date. Each Retainer Award will be fully vested on the date of grant.</w:t>
      </w:r>
    </w:p>
    <w:p>
      <w:pPr>
        <w:spacing w:after="0" w:line="199" w:lineRule="exact"/>
        <w:rPr>
          <w:rFonts w:ascii="Arial" w:cs="Arial" w:eastAsia="Arial" w:hAnsi="Arial"/>
          <w:sz w:val="21"/>
          <w:szCs w:val="21"/>
          <w:color w:val="auto"/>
        </w:rPr>
      </w:pPr>
    </w:p>
    <w:p>
      <w:pPr>
        <w:ind w:firstLine="1061"/>
        <w:spacing w:after="0" w:line="239" w:lineRule="auto"/>
        <w:tabs>
          <w:tab w:leader="none" w:pos="1365"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Additional Terms of Initial Awards, Annual Awards and Retainer Awards</w:t>
      </w:r>
      <w:r>
        <w:rPr>
          <w:rFonts w:ascii="Arial" w:cs="Arial" w:eastAsia="Arial" w:hAnsi="Arial"/>
          <w:sz w:val="22"/>
          <w:szCs w:val="22"/>
          <w:color w:val="auto"/>
        </w:rPr>
        <w:t>. The terms and conditions of each Initial Award, Annual Award and Retainer Award will be as follows:</w:t>
      </w:r>
    </w:p>
    <w:p>
      <w:pPr>
        <w:spacing w:after="0" w:line="198" w:lineRule="exact"/>
        <w:rPr>
          <w:rFonts w:ascii="Arial" w:cs="Arial" w:eastAsia="Arial" w:hAnsi="Arial"/>
          <w:sz w:val="22"/>
          <w:szCs w:val="22"/>
          <w:color w:val="auto"/>
        </w:rPr>
      </w:pPr>
    </w:p>
    <w:p>
      <w:pPr>
        <w:jc w:val="both"/>
        <w:ind w:firstLine="1709"/>
        <w:spacing w:after="0" w:line="231" w:lineRule="auto"/>
        <w:tabs>
          <w:tab w:leader="none" w:pos="2017" w:val="left"/>
        </w:tabs>
        <w:numPr>
          <w:ilvl w:val="2"/>
          <w:numId w:val="77"/>
        </w:numPr>
        <w:rPr>
          <w:rFonts w:ascii="Arial" w:cs="Arial" w:eastAsia="Arial" w:hAnsi="Arial"/>
          <w:sz w:val="22"/>
          <w:szCs w:val="22"/>
          <w:color w:val="auto"/>
        </w:rPr>
      </w:pPr>
      <w:r>
        <w:rPr>
          <w:rFonts w:ascii="Arial" w:cs="Arial" w:eastAsia="Arial" w:hAnsi="Arial"/>
          <w:sz w:val="22"/>
          <w:szCs w:val="22"/>
          <w:color w:val="auto"/>
        </w:rPr>
        <w:t>Each Initial Award, Annual Award and Retainer Award will be granted under and subject to the terms and conditions of the Plan and the applicable form of Award Agreement previously approved by the Board or its Compensation Committee, as applicable, for use thereunder.</w:t>
      </w:r>
    </w:p>
    <w:p>
      <w:pPr>
        <w:spacing w:after="0" w:line="201" w:lineRule="exact"/>
        <w:rPr>
          <w:rFonts w:ascii="Arial" w:cs="Arial" w:eastAsia="Arial" w:hAnsi="Arial"/>
          <w:sz w:val="22"/>
          <w:szCs w:val="22"/>
          <w:color w:val="auto"/>
        </w:rPr>
      </w:pPr>
    </w:p>
    <w:p>
      <w:pPr>
        <w:jc w:val="both"/>
        <w:ind w:firstLine="1709"/>
        <w:spacing w:after="0" w:line="224" w:lineRule="auto"/>
        <w:tabs>
          <w:tab w:leader="none" w:pos="2024" w:val="left"/>
        </w:tabs>
        <w:numPr>
          <w:ilvl w:val="2"/>
          <w:numId w:val="77"/>
        </w:numPr>
        <w:rPr>
          <w:rFonts w:ascii="Arial" w:cs="Arial" w:eastAsia="Arial" w:hAnsi="Arial"/>
          <w:sz w:val="22"/>
          <w:szCs w:val="22"/>
          <w:color w:val="auto"/>
        </w:rPr>
      </w:pPr>
      <w:r>
        <w:rPr>
          <w:rFonts w:ascii="Arial" w:cs="Arial" w:eastAsia="Arial" w:hAnsi="Arial"/>
          <w:sz w:val="22"/>
          <w:szCs w:val="22"/>
          <w:color w:val="auto"/>
        </w:rPr>
        <w:t>For purposes of this Policy, “Value” means the grant date fair value as determined in accordance with U.S. generally accepted accounting principles, or such other methodology the Board or any committee of the Board designed by the Board with appropriate authority (the “Designated Committee”), as applicable, may determine prior to the grant of the applicable Award becoming effective; provided that, with respect to Initial Awards, Annual Awards and Retainer Awards, the grant date fair value per Share will equal the average closing price of a Share for the 30 trading days immediately prior to the applicable date of grant.</w:t>
      </w:r>
    </w:p>
    <w:p>
      <w:pPr>
        <w:spacing w:after="0" w:line="203" w:lineRule="exact"/>
        <w:rPr>
          <w:rFonts w:ascii="Arial" w:cs="Arial" w:eastAsia="Arial" w:hAnsi="Arial"/>
          <w:sz w:val="22"/>
          <w:szCs w:val="22"/>
          <w:color w:val="auto"/>
        </w:rPr>
      </w:pPr>
    </w:p>
    <w:p>
      <w:pPr>
        <w:jc w:val="both"/>
        <w:ind w:right="20" w:firstLine="1709"/>
        <w:spacing w:after="0" w:line="231" w:lineRule="auto"/>
        <w:tabs>
          <w:tab w:leader="none" w:pos="2016" w:val="left"/>
        </w:tabs>
        <w:numPr>
          <w:ilvl w:val="2"/>
          <w:numId w:val="77"/>
        </w:numPr>
        <w:rPr>
          <w:rFonts w:ascii="Arial" w:cs="Arial" w:eastAsia="Arial" w:hAnsi="Arial"/>
          <w:sz w:val="22"/>
          <w:szCs w:val="22"/>
          <w:color w:val="auto"/>
        </w:rPr>
      </w:pPr>
      <w:r>
        <w:rPr>
          <w:rFonts w:ascii="Arial" w:cs="Arial" w:eastAsia="Arial" w:hAnsi="Arial"/>
          <w:sz w:val="22"/>
          <w:szCs w:val="22"/>
          <w:color w:val="auto"/>
        </w:rPr>
        <w:t>Revisions. The Board or the Designated Committee, as applicable and in its discretion, may change and otherwise revise the terms of Initial Awards, Annual Awards and Retainer Awards granted under this Policy, including, without limitation, the number of Shares subject thereto and type of Award.</w:t>
      </w:r>
    </w:p>
    <w:p>
      <w:pPr>
        <w:spacing w:after="0" w:line="195" w:lineRule="exact"/>
        <w:rPr>
          <w:rFonts w:ascii="Arial" w:cs="Arial" w:eastAsia="Arial" w:hAnsi="Arial"/>
          <w:sz w:val="22"/>
          <w:szCs w:val="22"/>
          <w:color w:val="auto"/>
        </w:rPr>
      </w:pPr>
    </w:p>
    <w:p>
      <w:pPr>
        <w:ind w:left="980" w:hanging="567"/>
        <w:spacing w:after="0"/>
        <w:tabs>
          <w:tab w:leader="none" w:pos="980" w:val="left"/>
        </w:tabs>
        <w:numPr>
          <w:ilvl w:val="0"/>
          <w:numId w:val="78"/>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Compensation and Benefits</w:t>
      </w:r>
    </w:p>
    <w:p>
      <w:pPr>
        <w:sectPr>
          <w:pgSz w:w="11900" w:h="16838" w:orient="portrait"/>
          <w:cols w:equalWidth="0" w:num="1">
            <w:col w:w="11240"/>
          </w:cols>
          <w:pgMar w:left="320" w:top="1414" w:right="339" w:bottom="1440" w:gutter="0" w:footer="0" w:header="0"/>
        </w:sectPr>
      </w:pPr>
    </w:p>
    <w:bookmarkStart w:id="181" w:name="page182"/>
    <w:bookmarkEnd w:id="181"/>
    <w:p>
      <w:pPr>
        <w:ind w:firstLine="648"/>
        <w:spacing w:after="0" w:line="239" w:lineRule="auto"/>
        <w:rPr>
          <w:sz w:val="20"/>
          <w:szCs w:val="20"/>
          <w:color w:val="auto"/>
        </w:rPr>
      </w:pPr>
      <w:r>
        <w:rPr>
          <w:rFonts w:ascii="Arial" w:cs="Arial" w:eastAsia="Arial" w:hAnsi="Arial"/>
          <w:sz w:val="22"/>
          <w:szCs w:val="22"/>
          <w:color w:val="auto"/>
        </w:rPr>
        <w:t>Outside Directors also may be eligible to receive other compensation and benefits, as may be determined by the Board or its Designated Committee, as applicable, from time to time.</w:t>
      </w:r>
    </w:p>
    <w:p>
      <w:pPr>
        <w:spacing w:after="0" w:line="192" w:lineRule="exact"/>
        <w:rPr>
          <w:sz w:val="20"/>
          <w:szCs w:val="20"/>
          <w:color w:val="auto"/>
        </w:rPr>
      </w:pPr>
    </w:p>
    <w:p>
      <w:pPr>
        <w:ind w:left="980" w:hanging="567"/>
        <w:spacing w:after="0"/>
        <w:tabs>
          <w:tab w:leader="none" w:pos="980" w:val="left"/>
        </w:tabs>
        <w:numPr>
          <w:ilvl w:val="0"/>
          <w:numId w:val="79"/>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p>
    <w:p>
      <w:pPr>
        <w:spacing w:after="0" w:line="22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In the event of a Change in Control, each Outside Director will fully vest in his or her outstanding Company equity awards as of immediately prior to a Change in Control, including any Initial Awards and Annual Awards, provided that the Outside Director continues to be an Outside Director through the date of the Change in Control.</w:t>
      </w:r>
    </w:p>
    <w:p>
      <w:pPr>
        <w:spacing w:after="0" w:line="195" w:lineRule="exact"/>
        <w:rPr>
          <w:sz w:val="20"/>
          <w:szCs w:val="20"/>
          <w:color w:val="auto"/>
        </w:rPr>
      </w:pPr>
    </w:p>
    <w:p>
      <w:pPr>
        <w:ind w:left="980" w:hanging="567"/>
        <w:spacing w:after="0"/>
        <w:tabs>
          <w:tab w:leader="none" w:pos="980"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Annual Compensation Limit</w:t>
      </w:r>
    </w:p>
    <w:p>
      <w:pPr>
        <w:spacing w:after="0" w:line="22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No Outside Director may be granted Awards with Values, and be provided any other compensation (including without limitation any cash retainers or fees) with amounts that, in any Company fiscal year (“</w:t>
      </w:r>
      <w:r>
        <w:rPr>
          <w:rFonts w:ascii="Arial" w:cs="Arial" w:eastAsia="Arial" w:hAnsi="Arial"/>
          <w:sz w:val="22"/>
          <w:szCs w:val="22"/>
          <w:u w:val="single" w:color="auto"/>
          <w:color w:val="auto"/>
        </w:rPr>
        <w:t>Fiscal Year</w:t>
      </w:r>
      <w:r>
        <w:rPr>
          <w:rFonts w:ascii="Arial" w:cs="Arial" w:eastAsia="Arial" w:hAnsi="Arial"/>
          <w:sz w:val="22"/>
          <w:szCs w:val="22"/>
          <w:color w:val="auto"/>
        </w:rPr>
        <w:t>”), in the aggregate, exceed $1,000,000, provided that, in the Fiscal Year containing an Outside Director’s Initial Start Date, such limit will be increased to $2,000,000. Any Awards or other compensation provided to an individual (a) for his or her services as an Employee, or for his or her services as a Consultant other than as an Outside Director, or (b) prior to the Effective Date, will be excluded for purposes of the foregoing limit.</w:t>
      </w:r>
    </w:p>
    <w:p>
      <w:pPr>
        <w:spacing w:after="0" w:line="197" w:lineRule="exact"/>
        <w:rPr>
          <w:sz w:val="20"/>
          <w:szCs w:val="20"/>
          <w:color w:val="auto"/>
        </w:rPr>
      </w:pPr>
    </w:p>
    <w:p>
      <w:pPr>
        <w:ind w:left="980" w:hanging="567"/>
        <w:spacing w:after="0"/>
        <w:tabs>
          <w:tab w:leader="none" w:pos="980" w:val="left"/>
        </w:tabs>
        <w:numPr>
          <w:ilvl w:val="0"/>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Travel Expenses</w:t>
      </w:r>
    </w:p>
    <w:p>
      <w:pPr>
        <w:spacing w:after="0" w:line="226"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Each Outside Director’s reasonable, customary, and properly documented, out-of-pocket travel expenses to meetings of the Board and any of its committees, as applicable, will be reimbursed by the Company.</w:t>
      </w:r>
    </w:p>
    <w:p>
      <w:pPr>
        <w:spacing w:after="0" w:line="192" w:lineRule="exact"/>
        <w:rPr>
          <w:sz w:val="20"/>
          <w:szCs w:val="20"/>
          <w:color w:val="auto"/>
        </w:rPr>
      </w:pPr>
    </w:p>
    <w:p>
      <w:pPr>
        <w:ind w:left="980" w:hanging="567"/>
        <w:spacing w:after="0"/>
        <w:tabs>
          <w:tab w:leader="none" w:pos="980" w:val="left"/>
        </w:tabs>
        <w:numPr>
          <w:ilvl w:val="0"/>
          <w:numId w:val="82"/>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p>
    <w:p>
      <w:pPr>
        <w:spacing w:after="0" w:line="22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no event will cash compensation or expense reimbursement payments under this Policy be paid after the later of (a) the fifteenth (15</w:t>
      </w:r>
      <w:r>
        <w:rPr>
          <w:rFonts w:ascii="Arial" w:cs="Arial" w:eastAsia="Arial" w:hAnsi="Arial"/>
          <w:sz w:val="11"/>
          <w:szCs w:val="11"/>
          <w:color w:val="auto"/>
        </w:rPr>
        <w:t>th</w:t>
      </w:r>
      <w:r>
        <w:rPr>
          <w:rFonts w:ascii="Arial" w:cs="Arial" w:eastAsia="Arial" w:hAnsi="Arial"/>
          <w:sz w:val="20"/>
          <w:szCs w:val="20"/>
          <w:color w:val="auto"/>
        </w:rPr>
        <w:t>) day of the third (3</w:t>
      </w:r>
      <w:r>
        <w:rPr>
          <w:rFonts w:ascii="Arial" w:cs="Arial" w:eastAsia="Arial" w:hAnsi="Arial"/>
          <w:sz w:val="11"/>
          <w:szCs w:val="11"/>
          <w:color w:val="auto"/>
        </w:rPr>
        <w:t>rd</w:t>
      </w:r>
      <w:r>
        <w:rPr>
          <w:rFonts w:ascii="Arial" w:cs="Arial" w:eastAsia="Arial" w:hAnsi="Arial"/>
          <w:sz w:val="20"/>
          <w:szCs w:val="20"/>
          <w:color w:val="auto"/>
        </w:rPr>
        <w:t>) month following the end of the Company’s taxable year in which the compensation is earned or expenses are incurred, as applicable, or (b) the fifteenth (15</w:t>
      </w:r>
      <w:r>
        <w:rPr>
          <w:rFonts w:ascii="Arial" w:cs="Arial" w:eastAsia="Arial" w:hAnsi="Arial"/>
          <w:sz w:val="11"/>
          <w:szCs w:val="11"/>
          <w:color w:val="auto"/>
        </w:rPr>
        <w:t>th</w:t>
      </w:r>
      <w:r>
        <w:rPr>
          <w:rFonts w:ascii="Arial" w:cs="Arial" w:eastAsia="Arial" w:hAnsi="Arial"/>
          <w:sz w:val="20"/>
          <w:szCs w:val="20"/>
          <w:color w:val="auto"/>
        </w:rPr>
        <w:t>) day of the third (3</w:t>
      </w:r>
      <w:r>
        <w:rPr>
          <w:rFonts w:ascii="Arial" w:cs="Arial" w:eastAsia="Arial" w:hAnsi="Arial"/>
          <w:sz w:val="11"/>
          <w:szCs w:val="11"/>
          <w:color w:val="auto"/>
        </w:rPr>
        <w:t>rd</w:t>
      </w:r>
      <w:r>
        <w:rPr>
          <w:rFonts w:ascii="Arial" w:cs="Arial" w:eastAsia="Arial" w:hAnsi="Arial"/>
          <w:sz w:val="20"/>
          <w:szCs w:val="20"/>
          <w:color w:val="auto"/>
        </w:rPr>
        <w:t>) month following the end of the calendar year in which the compensation is earned or expenses are incurred, as applicable, in compliance with the “short-term deferral” exception under Code Section 409A. It is the intent of this Policy that this Policy and all payments hereunder be exempt or excepted from or otherwise comply with the requirements of Code Section 409A so that none of the compensation to be provided hereunder will be subject to the additional tax imposed under Code Section 409A, and any ambiguities or ambiguous terms herein will be interpreted to be so exempt or comply. In no event will the Company Group have any responsibility, liability or obligation to reimburse, indemnify, or hold harmless an Outside Director or any other person for any taxes imposed, or other costs incurred, as a result of Code Section 409A.</w:t>
      </w:r>
    </w:p>
    <w:p>
      <w:pPr>
        <w:spacing w:after="0" w:line="194" w:lineRule="exact"/>
        <w:rPr>
          <w:sz w:val="20"/>
          <w:szCs w:val="20"/>
          <w:color w:val="auto"/>
        </w:rPr>
      </w:pPr>
    </w:p>
    <w:p>
      <w:pPr>
        <w:ind w:left="980" w:hanging="567"/>
        <w:spacing w:after="0"/>
        <w:tabs>
          <w:tab w:leader="none" w:pos="980" w:val="left"/>
        </w:tabs>
        <w:numPr>
          <w:ilvl w:val="0"/>
          <w:numId w:val="83"/>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Approval</w:t>
      </w:r>
    </w:p>
    <w:p>
      <w:pPr>
        <w:spacing w:after="0" w:line="226"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22"/>
          <w:szCs w:val="22"/>
          <w:color w:val="auto"/>
        </w:rPr>
        <w:t>The initial adoption of this Policy will be subject to approval by the Company’s stockholders prior to the Effective Date. Unless otherwise required by applicable law, following such approval, the Policy will not be subject to approval by the Company’s stockholders, including,</w:t>
      </w:r>
    </w:p>
    <w:p>
      <w:pPr>
        <w:sectPr>
          <w:pgSz w:w="11900" w:h="16838" w:orient="portrait"/>
          <w:cols w:equalWidth="0" w:num="1">
            <w:col w:w="11240"/>
          </w:cols>
          <w:pgMar w:left="320" w:top="1414" w:right="339" w:bottom="1440" w:gutter="0" w:footer="0" w:header="0"/>
        </w:sectPr>
      </w:pPr>
    </w:p>
    <w:bookmarkStart w:id="182" w:name="page183"/>
    <w:bookmarkEnd w:id="182"/>
    <w:p>
      <w:pPr>
        <w:spacing w:after="0" w:line="239" w:lineRule="auto"/>
        <w:rPr>
          <w:sz w:val="20"/>
          <w:szCs w:val="20"/>
          <w:color w:val="auto"/>
        </w:rPr>
      </w:pPr>
      <w:r>
        <w:rPr>
          <w:rFonts w:ascii="Arial" w:cs="Arial" w:eastAsia="Arial" w:hAnsi="Arial"/>
          <w:sz w:val="22"/>
          <w:szCs w:val="22"/>
          <w:color w:val="auto"/>
        </w:rPr>
        <w:t>for the avoidance of doubt, as a result of or in connection with an action taken with respect to this Policy as contemplated in Section10.</w:t>
      </w:r>
    </w:p>
    <w:p>
      <w:pPr>
        <w:spacing w:after="0" w:line="192" w:lineRule="exact"/>
        <w:rPr>
          <w:sz w:val="20"/>
          <w:szCs w:val="20"/>
          <w:color w:val="auto"/>
        </w:rPr>
      </w:pPr>
    </w:p>
    <w:p>
      <w:pPr>
        <w:ind w:left="980" w:hanging="567"/>
        <w:spacing w:after="0"/>
        <w:tabs>
          <w:tab w:leader="none" w:pos="980" w:val="left"/>
        </w:tabs>
        <w:numPr>
          <w:ilvl w:val="0"/>
          <w:numId w:val="84"/>
        </w:numPr>
        <w:rPr>
          <w:rFonts w:ascii="Arial" w:cs="Arial" w:eastAsia="Arial" w:hAnsi="Arial"/>
          <w:sz w:val="22"/>
          <w:szCs w:val="22"/>
          <w:color w:val="auto"/>
        </w:rPr>
      </w:pPr>
      <w:r>
        <w:rPr>
          <w:rFonts w:ascii="Arial" w:cs="Arial" w:eastAsia="Arial" w:hAnsi="Arial"/>
          <w:sz w:val="22"/>
          <w:szCs w:val="22"/>
          <w:b w:val="1"/>
          <w:bCs w:val="1"/>
          <w:u w:val="single" w:color="auto"/>
          <w:color w:val="auto"/>
        </w:rPr>
        <w:t>Revisions</w:t>
      </w:r>
    </w:p>
    <w:p>
      <w:pPr>
        <w:spacing w:after="0" w:line="22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2"/>
          <w:szCs w:val="22"/>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in writing between the Outside Director and the Company. Termination of this Policy will not affect the Board’s or the Designated Committee’s ability to exercise the powers granted to it with respect to Awards granted pursuant to this Policy prior to the date of such termination, including without limitation such applicable powers set forth in the Plan.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p>
      <w:pPr>
        <w:sectPr>
          <w:pgSz w:w="11900" w:h="16838" w:orient="portrait"/>
          <w:cols w:equalWidth="0" w:num="1">
            <w:col w:w="11240"/>
          </w:cols>
          <w:pgMar w:left="320" w:top="1414"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21.1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8400" w:type="dxa"/>
            <w:vAlign w:val="bottom"/>
          </w:tcPr>
          <w:p>
            <w:pPr>
              <w:ind w:left="1220"/>
              <w:spacing w:after="0"/>
              <w:rPr>
                <w:sz w:val="20"/>
                <w:szCs w:val="20"/>
                <w:color w:val="auto"/>
              </w:rPr>
            </w:pPr>
            <w:r>
              <w:rPr>
                <w:rFonts w:ascii="Arial" w:cs="Arial" w:eastAsia="Arial" w:hAnsi="Arial"/>
                <w:sz w:val="18"/>
                <w:szCs w:val="18"/>
                <w:b w:val="1"/>
                <w:bCs w:val="1"/>
                <w:color w:val="auto"/>
              </w:rPr>
              <w:t>SUBSIDIARIES OF THE REGISTRANT</w:t>
            </w:r>
          </w:p>
        </w:tc>
      </w:tr>
      <w:tr>
        <w:trPr>
          <w:trHeight w:val="392"/>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8400" w:type="dxa"/>
            <w:vAlign w:val="bottom"/>
            <w:tcBorders>
              <w:bottom w:val="single" w:sz="8" w:color="auto"/>
            </w:tcBorders>
          </w:tcPr>
          <w:p>
            <w:pPr>
              <w:ind w:left="3120"/>
              <w:spacing w:after="0"/>
              <w:rPr>
                <w:sz w:val="20"/>
                <w:szCs w:val="20"/>
                <w:color w:val="auto"/>
              </w:rPr>
            </w:pPr>
            <w:r>
              <w:rPr>
                <w:rFonts w:ascii="Arial" w:cs="Arial" w:eastAsia="Arial" w:hAnsi="Arial"/>
                <w:sz w:val="18"/>
                <w:szCs w:val="18"/>
                <w:b w:val="1"/>
                <w:bCs w:val="1"/>
                <w:color w:val="auto"/>
              </w:rPr>
              <w:t>Jurisdiction of Incorporation</w:t>
            </w: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Upstart Network, Inc.</w:t>
            </w:r>
          </w:p>
        </w:tc>
        <w:tc>
          <w:tcPr>
            <w:tcW w:w="8400" w:type="dxa"/>
            <w:vAlign w:val="bottom"/>
          </w:tcPr>
          <w:p>
            <w:pPr>
              <w:ind w:left="3120"/>
              <w:spacing w:after="0"/>
              <w:rPr>
                <w:sz w:val="20"/>
                <w:szCs w:val="20"/>
                <w:color w:val="auto"/>
              </w:rPr>
            </w:pPr>
            <w:r>
              <w:rPr>
                <w:rFonts w:ascii="Arial" w:cs="Arial" w:eastAsia="Arial" w:hAnsi="Arial"/>
                <w:sz w:val="18"/>
                <w:szCs w:val="18"/>
                <w:color w:val="auto"/>
              </w:rPr>
              <w:t>Delaware</w:t>
            </w:r>
          </w:p>
        </w:tc>
      </w:tr>
      <w:tr>
        <w:trPr>
          <w:trHeight w:val="242"/>
        </w:trPr>
        <w:tc>
          <w:tcPr>
            <w:tcW w:w="2800" w:type="dxa"/>
            <w:vAlign w:val="bottom"/>
          </w:tcPr>
          <w:p>
            <w:pPr>
              <w:ind w:left="20"/>
              <w:spacing w:after="0"/>
              <w:rPr>
                <w:sz w:val="20"/>
                <w:szCs w:val="20"/>
                <w:color w:val="auto"/>
              </w:rPr>
            </w:pPr>
            <w:r>
              <w:rPr>
                <w:rFonts w:ascii="Arial" w:cs="Arial" w:eastAsia="Arial" w:hAnsi="Arial"/>
                <w:sz w:val="18"/>
                <w:szCs w:val="18"/>
                <w:color w:val="auto"/>
              </w:rPr>
              <w:t>Upstart Loan Trust</w:t>
            </w:r>
          </w:p>
        </w:tc>
        <w:tc>
          <w:tcPr>
            <w:tcW w:w="8400" w:type="dxa"/>
            <w:vAlign w:val="bottom"/>
          </w:tcPr>
          <w:p>
            <w:pPr>
              <w:ind w:left="31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417"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We consent to the incorporation by reference in the Registration Statement Nos. 333-255270 and 333-251388 on Form S-8 of our reports dated February 17, 2022, relating to the financial statements of Upstart Holdings, Inc., and the effectiveness of Upstart Holdings, Inc.’s internal control over financial reporting, appearing in the Annual Report on Form 10-K of Upstart Holdings, Inc. for the year ended December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rPr>
          <w:sz w:val="20"/>
          <w:szCs w:val="20"/>
          <w:color w:val="auto"/>
        </w:rPr>
      </w:pPr>
      <w:r>
        <w:rPr>
          <w:rFonts w:ascii="Arial" w:cs="Arial" w:eastAsia="Arial" w:hAnsi="Arial"/>
          <w:sz w:val="18"/>
          <w:szCs w:val="18"/>
          <w:color w:val="auto"/>
        </w:rPr>
        <w:t>February 17, 2022</w:t>
      </w:r>
    </w:p>
    <w:p>
      <w:pPr>
        <w:sectPr>
          <w:pgSz w:w="11900" w:h="16838" w:orient="portrait"/>
          <w:cols w:equalWidth="0" w:num="1">
            <w:col w:w="11240"/>
          </w:cols>
          <w:pgMar w:left="320" w:top="1417"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Dave Girouard, certify that:</w:t>
      </w:r>
    </w:p>
    <w:p>
      <w:pPr>
        <w:spacing w:after="0" w:line="225"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Upstart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
        <w:spacing w:after="0" w:line="263" w:lineRule="auto"/>
        <w:tabs>
          <w:tab w:leader="none" w:pos="2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60" w:firstLine="8"/>
        <w:spacing w:after="0" w:line="263"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300" w:firstLine="8"/>
        <w:spacing w:after="0" w:line="308" w:lineRule="auto"/>
        <w:tabs>
          <w:tab w:leader="none" w:pos="1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2022</w:t>
      </w:r>
    </w:p>
    <w:p>
      <w:pPr>
        <w:sectPr>
          <w:pgSz w:w="11900" w:h="16838" w:orient="portrait"/>
          <w:cols w:equalWidth="0" w:num="1">
            <w:col w:w="11240"/>
          </w:cols>
          <w:pgMar w:left="320" w:top="1093"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UPSTART HOLDINGS, INC.</w:t>
      </w:r>
    </w:p>
    <w:p>
      <w:pPr>
        <w:spacing w:after="0" w:line="3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31750</wp:posOffset>
            </wp:positionV>
            <wp:extent cx="24345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20"/>
          <w:szCs w:val="20"/>
          <w:color w:val="auto"/>
        </w:rPr>
        <w:t>Dave Girouard</w:t>
      </w:r>
    </w:p>
    <w:p>
      <w:pPr>
        <w:spacing w:after="0" w:line="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9959"/>
          </w:cols>
          <w:pgMar w:left="500" w:top="1165" w:right="1440"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Datta, certify that:</w:t>
      </w:r>
    </w:p>
    <w:p>
      <w:pPr>
        <w:spacing w:after="0" w:line="225" w:lineRule="exact"/>
        <w:rPr>
          <w:sz w:val="20"/>
          <w:szCs w:val="20"/>
          <w:color w:val="auto"/>
        </w:rPr>
      </w:pPr>
    </w:p>
    <w:p>
      <w:pPr>
        <w:ind w:left="180" w:hanging="172"/>
        <w:spacing w:after="0"/>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Upstart Holdings,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0" w:firstLine="8"/>
        <w:spacing w:after="0" w:line="277" w:lineRule="auto"/>
        <w:tabs>
          <w:tab w:leader="none" w:pos="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
        <w:spacing w:after="0" w:line="263" w:lineRule="auto"/>
        <w:tabs>
          <w:tab w:leader="none" w:pos="245"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60" w:firstLine="8"/>
        <w:spacing w:after="0" w:line="263"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300" w:firstLine="8"/>
        <w:spacing w:after="0" w:line="308" w:lineRule="auto"/>
        <w:tabs>
          <w:tab w:leader="none" w:pos="1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 w:firstLine="8"/>
        <w:spacing w:after="0" w:line="277" w:lineRule="auto"/>
        <w:tabs>
          <w:tab w:leader="none" w:pos="24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2022</w:t>
      </w:r>
    </w:p>
    <w:p>
      <w:pPr>
        <w:sectPr>
          <w:pgSz w:w="11900" w:h="16838" w:orient="portrait"/>
          <w:cols w:equalWidth="0" w:num="1">
            <w:col w:w="11240"/>
          </w:cols>
          <w:pgMar w:left="320" w:top="1093"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UPSTART HOLDINGS, INC.</w:t>
      </w:r>
    </w:p>
    <w:p>
      <w:pPr>
        <w:spacing w:after="0" w:line="3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31750</wp:posOffset>
            </wp:positionV>
            <wp:extent cx="24345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6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20"/>
          <w:szCs w:val="20"/>
          <w:color w:val="auto"/>
        </w:rPr>
        <w:t>Sanjay Datta</w:t>
      </w:r>
    </w:p>
    <w:p>
      <w:pPr>
        <w:spacing w:after="0" w:line="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9959"/>
          </w:cols>
          <w:pgMar w:left="500" w:top="1165" w:right="1440" w:bottom="1440" w:gutter="0" w:footer="0" w:header="0"/>
        </w:sectPr>
      </w:pPr>
    </w:p>
    <w:bookmarkStart w:id="189" w:name="page190"/>
    <w:bookmarkEnd w:id="189"/>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 OF PRINCIPAL EXECUTIVE OFFICER AND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w:t>
      </w: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Dave Girouard, certify, pursuant to 18 U.S.C. Section 1350, as adopted pursuant to Section 906 of the Sarbanes-Oxley Act of 2002, that the Annual Report on Form 10-K of Upstart Holdings, Inc. for the quarter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Upstart Holdings, Inc.</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5480" w:type="dxa"/>
            <w:vAlign w:val="bottom"/>
          </w:tcPr>
          <w:p>
            <w:pPr>
              <w:ind w:left="20"/>
              <w:spacing w:after="0"/>
              <w:rPr>
                <w:sz w:val="20"/>
                <w:szCs w:val="20"/>
                <w:color w:val="auto"/>
              </w:rPr>
            </w:pPr>
            <w:r>
              <w:rPr>
                <w:rFonts w:ascii="Arial" w:cs="Arial" w:eastAsia="Arial" w:hAnsi="Arial"/>
                <w:sz w:val="20"/>
                <w:szCs w:val="20"/>
                <w:color w:val="auto"/>
              </w:rPr>
              <w:t>Date: February 17, 2022</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/s/ Dave Girouard</w:t>
            </w:r>
          </w:p>
        </w:tc>
      </w:tr>
      <w:tr>
        <w:trPr>
          <w:trHeight w:val="268"/>
        </w:trPr>
        <w:tc>
          <w:tcPr>
            <w:tcW w:w="5480" w:type="dxa"/>
            <w:vAlign w:val="bottom"/>
            <w:tcBorders>
              <w:top w:val="single" w:sz="8" w:color="FEFEFE"/>
            </w:tcBorders>
            <w:shd w:val="clear" w:color="auto" w:fill="FEFEFE"/>
          </w:tcPr>
          <w:p>
            <w:pPr>
              <w:spacing w:after="0"/>
              <w:rPr>
                <w:sz w:val="23"/>
                <w:szCs w:val="23"/>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Dave Girouard</w:t>
            </w:r>
          </w:p>
        </w:tc>
      </w:tr>
      <w:tr>
        <w:trPr>
          <w:trHeight w:val="310"/>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Executive Officer and President</w:t>
            </w:r>
          </w:p>
        </w:tc>
      </w:tr>
      <w:tr>
        <w:trPr>
          <w:trHeight w:val="297"/>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Executive Officer)</w:t>
            </w:r>
          </w:p>
        </w:tc>
      </w:tr>
      <w:tr>
        <w:trPr>
          <w:trHeight w:val="266"/>
        </w:trPr>
        <w:tc>
          <w:tcPr>
            <w:tcW w:w="5480" w:type="dxa"/>
            <w:vAlign w:val="bottom"/>
            <w:shd w:val="clear" w:color="auto" w:fill="FEFEFE"/>
          </w:tcPr>
          <w:p>
            <w:pPr>
              <w:spacing w:after="0"/>
              <w:rPr>
                <w:sz w:val="23"/>
                <w:szCs w:val="23"/>
                <w:color w:val="auto"/>
              </w:rPr>
            </w:pPr>
          </w:p>
        </w:tc>
        <w:tc>
          <w:tcPr>
            <w:tcW w:w="760" w:type="dxa"/>
            <w:vAlign w:val="bottom"/>
            <w:shd w:val="clear" w:color="auto" w:fill="FEFEFE"/>
          </w:tcPr>
          <w:p>
            <w:pPr>
              <w:spacing w:after="0"/>
              <w:rPr>
                <w:sz w:val="23"/>
                <w:szCs w:val="23"/>
                <w:color w:val="auto"/>
              </w:rPr>
            </w:pPr>
          </w:p>
        </w:tc>
        <w:tc>
          <w:tcPr>
            <w:tcW w:w="4000" w:type="dxa"/>
            <w:vAlign w:val="bottom"/>
            <w:shd w:val="clear" w:color="auto" w:fill="FEFEFE"/>
          </w:tcPr>
          <w:p>
            <w:pPr>
              <w:spacing w:after="0"/>
              <w:rPr>
                <w:sz w:val="23"/>
                <w:szCs w:val="23"/>
                <w:color w:val="auto"/>
              </w:rPr>
            </w:pPr>
          </w:p>
        </w:tc>
      </w:tr>
    </w:tbl>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 Sanjay Datta, certify, pursuant to 18 U.S.C. Section 1350, as adopted pursuant to Section 906 of the Sarbanes-Oxley Act of 2002, that the Annual Report on Form 10-K of Upstart Holdings, Inc. for the quarter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Upstart Holdings, Inc.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5480" w:type="dxa"/>
            <w:vAlign w:val="bottom"/>
          </w:tcPr>
          <w:p>
            <w:pPr>
              <w:ind w:left="20"/>
              <w:spacing w:after="0"/>
              <w:rPr>
                <w:sz w:val="20"/>
                <w:szCs w:val="20"/>
                <w:color w:val="auto"/>
              </w:rPr>
            </w:pPr>
            <w:r>
              <w:rPr>
                <w:rFonts w:ascii="Arial" w:cs="Arial" w:eastAsia="Arial" w:hAnsi="Arial"/>
                <w:sz w:val="20"/>
                <w:szCs w:val="20"/>
                <w:color w:val="auto"/>
              </w:rPr>
              <w:t>Date: February 17, 2022</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/s/ Sanjay Datta</w:t>
            </w:r>
          </w:p>
        </w:tc>
      </w:tr>
      <w:tr>
        <w:trPr>
          <w:trHeight w:val="268"/>
        </w:trPr>
        <w:tc>
          <w:tcPr>
            <w:tcW w:w="5480" w:type="dxa"/>
            <w:vAlign w:val="bottom"/>
            <w:tcBorders>
              <w:top w:val="single" w:sz="8" w:color="FEFEFE"/>
            </w:tcBorders>
            <w:shd w:val="clear" w:color="auto" w:fill="FEFEFE"/>
          </w:tcPr>
          <w:p>
            <w:pPr>
              <w:spacing w:after="0"/>
              <w:rPr>
                <w:sz w:val="23"/>
                <w:szCs w:val="23"/>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20"/>
                <w:szCs w:val="20"/>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20"/>
                <w:szCs w:val="20"/>
                <w:color w:val="auto"/>
              </w:rPr>
              <w:t>Sanjay Datta</w:t>
            </w:r>
          </w:p>
        </w:tc>
      </w:tr>
      <w:tr>
        <w:trPr>
          <w:trHeight w:val="310"/>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Arial" w:cs="Arial" w:eastAsia="Arial" w:hAnsi="Arial"/>
                <w:sz w:val="20"/>
                <w:szCs w:val="20"/>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Chief Financial Officer</w:t>
            </w:r>
          </w:p>
        </w:tc>
      </w:tr>
      <w:tr>
        <w:trPr>
          <w:trHeight w:val="310"/>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20"/>
                <w:szCs w:val="20"/>
                <w:color w:val="auto"/>
              </w:rPr>
              <w:t>(Principal Financial Officer)</w:t>
            </w:r>
          </w:p>
        </w:tc>
      </w:tr>
      <w:tr>
        <w:trPr>
          <w:trHeight w:val="37"/>
        </w:trPr>
        <w:tc>
          <w:tcPr>
            <w:tcW w:w="5480" w:type="dxa"/>
            <w:vAlign w:val="bottom"/>
            <w:shd w:val="clear" w:color="auto" w:fill="FEFEFE"/>
          </w:tcPr>
          <w:p>
            <w:pPr>
              <w:spacing w:after="0"/>
              <w:rPr>
                <w:sz w:val="3"/>
                <w:szCs w:val="3"/>
                <w:color w:val="auto"/>
              </w:rPr>
            </w:pPr>
          </w:p>
        </w:tc>
        <w:tc>
          <w:tcPr>
            <w:tcW w:w="760" w:type="dxa"/>
            <w:vAlign w:val="bottom"/>
            <w:shd w:val="clear" w:color="auto" w:fill="FEFEFE"/>
          </w:tcPr>
          <w:p>
            <w:pPr>
              <w:spacing w:after="0"/>
              <w:rPr>
                <w:sz w:val="3"/>
                <w:szCs w:val="3"/>
                <w:color w:val="auto"/>
              </w:rPr>
            </w:pPr>
          </w:p>
        </w:tc>
        <w:tc>
          <w:tcPr>
            <w:tcW w:w="4000" w:type="dxa"/>
            <w:vAlign w:val="bottom"/>
            <w:shd w:val="clear" w:color="auto" w:fill="FEFEFE"/>
          </w:tcPr>
          <w:p>
            <w:pPr>
              <w:spacing w:after="0"/>
              <w:rPr>
                <w:sz w:val="3"/>
                <w:szCs w:val="3"/>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1)"/>
      <w:numFmt w:val="decimal"/>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1."/>
      <w:numFmt w:val="decimal"/>
      <w:start w:val="8"/>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1)"/>
      <w:numFmt w:val="lowerLetter"/>
      <w:start w:val="1"/>
    </w:lvl>
  </w:abstractNum>
  <w:abstractNum w:abstractNumId="40">
    <w:nsid w:val="4AD084E9"/>
    <w:multiLevelType w:val="hybridMultilevel"/>
    <w:lvl w:ilvl="0">
      <w:lvlJc w:val="left"/>
      <w:lvlText w:val="(%1)"/>
      <w:numFmt w:val="lowerLetter"/>
      <w:start w:val="1"/>
    </w:lvl>
  </w:abstractNum>
  <w:abstractNum w:abstractNumId="41">
    <w:nsid w:val="1F48EAA1"/>
    <w:multiLevelType w:val="hybridMultilevel"/>
    <w:lvl w:ilvl="0">
      <w:lvlJc w:val="left"/>
      <w:lvlText w:val="(%1)"/>
      <w:numFmt w:val="lowerLetter"/>
      <w:start w:val="1"/>
    </w:lvl>
  </w:abstractNum>
  <w:abstractNum w:abstractNumId="42">
    <w:nsid w:val="1381823A"/>
    <w:multiLevelType w:val="hybridMultilevel"/>
    <w:lvl w:ilvl="0">
      <w:lvlJc w:val="left"/>
      <w:lvlText w:val="%1."/>
      <w:numFmt w:val="decimal"/>
      <w:start w:val="1"/>
    </w:lvl>
  </w:abstractNum>
  <w:abstractNum w:abstractNumId="43">
    <w:nsid w:val="5DB70AE5"/>
    <w:multiLevelType w:val="hybridMultilevel"/>
    <w:lvl w:ilvl="0">
      <w:lvlJc w:val="left"/>
      <w:lvlText w:val="%1."/>
      <w:numFmt w:val="decimal"/>
      <w:start w:val="2"/>
    </w:lvl>
  </w:abstractNum>
  <w:abstractNum w:abstractNumId="44">
    <w:nsid w:val="100F8FCA"/>
    <w:multiLevelType w:val="hybridMultilevel"/>
    <w:lvl w:ilvl="0">
      <w:lvlJc w:val="left"/>
      <w:lvlText w:val="(%1)"/>
      <w:numFmt w:val="decimal"/>
      <w:start w:val="1"/>
    </w:lvl>
  </w:abstractNum>
  <w:abstractNum w:abstractNumId="45">
    <w:nsid w:val="6590700B"/>
    <w:multiLevelType w:val="hybridMultilevel"/>
    <w:lvl w:ilvl="0">
      <w:lvlJc w:val="left"/>
      <w:lvlText w:val="%1."/>
      <w:numFmt w:val="decimal"/>
      <w:start w:val="3"/>
    </w:lvl>
  </w:abstractNum>
  <w:abstractNum w:abstractNumId="46">
    <w:nsid w:val="15014ACB"/>
    <w:multiLevelType w:val="hybridMultilevel"/>
    <w:lvl w:ilvl="0">
      <w:lvlJc w:val="left"/>
      <w:lvlText w:val="%1."/>
      <w:numFmt w:val="decimal"/>
      <w:start w:val="4"/>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1)"/>
      <w:numFmt w:val="decimal"/>
      <w:start w:val="1"/>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decimal"/>
      <w:start w:val="1"/>
    </w:lvl>
  </w:abstractNum>
  <w:abstractNum w:abstractNumId="51">
    <w:nsid w:val="42C296BD"/>
    <w:multiLevelType w:val="hybridMultilevel"/>
    <w:lvl w:ilvl="0">
      <w:lvlJc w:val="left"/>
      <w:lvlText w:val="%1."/>
      <w:numFmt w:val="decimal"/>
      <w:start w:val="5"/>
    </w:lvl>
  </w:abstractNum>
  <w:abstractNum w:abstractNumId="52">
    <w:nsid w:val="168E121F"/>
    <w:multiLevelType w:val="hybridMultilevel"/>
    <w:lvl w:ilvl="0">
      <w:lvlJc w:val="left"/>
      <w:lvlText w:val="(%1)"/>
      <w:numFmt w:val="decimal"/>
      <w:start w:val="1"/>
    </w:lvl>
  </w:abstractNum>
  <w:abstractNum w:abstractNumId="53">
    <w:nsid w:val="1EBA5D23"/>
    <w:multiLevelType w:val="hybridMultilevel"/>
    <w:lvl w:ilvl="0">
      <w:lvlJc w:val="left"/>
      <w:lvlText w:val="%1."/>
      <w:numFmt w:val="decimal"/>
      <w:start w:val="6"/>
    </w:lvl>
  </w:abstractNum>
  <w:abstractNum w:abstractNumId="54">
    <w:nsid w:val="661E3F1E"/>
    <w:multiLevelType w:val="hybridMultilevel"/>
    <w:lvl w:ilvl="0">
      <w:lvlJc w:val="left"/>
      <w:lvlText w:val="%1."/>
      <w:numFmt w:val="decimal"/>
      <w:start w:val="8"/>
    </w:lvl>
  </w:abstractNum>
  <w:abstractNum w:abstractNumId="55">
    <w:nsid w:val="5DC79EA8"/>
    <w:multiLevelType w:val="hybridMultilevel"/>
    <w:lvl w:ilvl="0">
      <w:lvlJc w:val="left"/>
      <w:lvlText w:val="%1"/>
      <w:numFmt w:val="upperLetter"/>
      <w:start w:val="44"/>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decimal"/>
      <w:start w:val="10"/>
    </w:lvl>
  </w:abstractNum>
  <w:abstractNum w:abstractNumId="58">
    <w:nsid w:val="51D9C564"/>
    <w:multiLevelType w:val="hybridMultilevel"/>
    <w:lvl w:ilvl="0">
      <w:lvlJc w:val="left"/>
      <w:lvlText w:val="%1."/>
      <w:numFmt w:val="decimal"/>
      <w:start w:val="12"/>
    </w:lvl>
  </w:abstractNum>
  <w:abstractNum w:abstractNumId="59">
    <w:nsid w:val="613EFDC5"/>
    <w:multiLevelType w:val="hybridMultilevel"/>
    <w:lvl w:ilvl="0">
      <w:lvlJc w:val="left"/>
      <w:lvlText w:val="%1."/>
      <w:numFmt w:val="decimal"/>
      <w:start w:val="13"/>
    </w:lvl>
  </w:abstractNum>
  <w:abstractNum w:abstractNumId="60">
    <w:nsid w:val="BF72B14"/>
    <w:multiLevelType w:val="hybridMultilevel"/>
    <w:lvl w:ilvl="0">
      <w:lvlJc w:val="left"/>
      <w:lvlText w:val="%1."/>
      <w:numFmt w:val="decimal"/>
      <w:start w:val="14"/>
    </w:lvl>
  </w:abstractNum>
  <w:abstractNum w:abstractNumId="61">
    <w:nsid w:val="11447B73"/>
    <w:multiLevelType w:val="hybridMultilevel"/>
    <w:lvl w:ilvl="0">
      <w:lvlJc w:val="left"/>
      <w:lvlText w:val="%1."/>
      <w:numFmt w:val="decimal"/>
      <w:start w:val="15"/>
    </w:lvl>
  </w:abstractNum>
  <w:abstractNum w:abstractNumId="62">
    <w:nsid w:val="42963E5A"/>
    <w:multiLevelType w:val="hybridMultilevel"/>
    <w:lvl w:ilvl="0">
      <w:lvlJc w:val="left"/>
      <w:lvlText w:val="%1."/>
      <w:numFmt w:val="decimal"/>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1."/>
      <w:numFmt w:val="upperLetter"/>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1."/>
      <w:numFmt w:val="decimal"/>
      <w:start w:val="1"/>
    </w:lvl>
    <w:lvl w:ilvl="1">
      <w:lvlJc w:val="left"/>
      <w:lvlText w:val="%2."/>
      <w:numFmt w:val="lowerLetter"/>
      <w:start w:val="1"/>
    </w:lvl>
  </w:abstractNum>
  <w:abstractNum w:abstractNumId="70">
    <w:nsid w:val="6A5EE6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1">
    <w:nsid w:val="1433062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72">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3">
    <w:nsid w:val="1A27709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74">
    <w:nsid w:val="71EA110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75">
    <w:nsid w:val="100F59DC"/>
    <w:multiLevelType w:val="hybridMultilevel"/>
    <w:lvl w:ilvl="0">
      <w:lvlJc w:val="left"/>
      <w:lvlText w:val="%1."/>
      <w:numFmt w:val="lowerLetter"/>
      <w:start w:val="1"/>
    </w:lvl>
  </w:abstractNum>
  <w:abstractNum w:abstractNumId="76">
    <w:nsid w:val="7FB7E0A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7">
    <w:nsid w:val="6EB5B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8">
    <w:nsid w:val="6F6DD9AC"/>
    <w:multiLevelType w:val="hybridMultilevel"/>
    <w:lvl w:ilvl="0">
      <w:lvlJc w:val="left"/>
      <w:lvlText w:val="%1."/>
      <w:numFmt w:val="decimal"/>
      <w:start w:val="5"/>
    </w:lvl>
  </w:abstractNum>
  <w:abstractNum w:abstractNumId="79">
    <w:nsid w:val="94211F2"/>
    <w:multiLevelType w:val="hybridMultilevel"/>
    <w:lvl w:ilvl="0">
      <w:lvlJc w:val="left"/>
      <w:lvlText w:val="%1."/>
      <w:numFmt w:val="decimal"/>
      <w:start w:val="6"/>
    </w:lvl>
  </w:abstractNum>
  <w:abstractNum w:abstractNumId="80">
    <w:nsid w:val="885E1B"/>
    <w:multiLevelType w:val="hybridMultilevel"/>
    <w:lvl w:ilvl="0">
      <w:lvlJc w:val="left"/>
      <w:lvlText w:val="%1."/>
      <w:numFmt w:val="decimal"/>
      <w:start w:val="7"/>
    </w:lvl>
  </w:abstractNum>
  <w:abstractNum w:abstractNumId="81">
    <w:nsid w:val="76272110"/>
    <w:multiLevelType w:val="hybridMultilevel"/>
    <w:lvl w:ilvl="0">
      <w:lvlJc w:val="left"/>
      <w:lvlText w:val="%1."/>
      <w:numFmt w:val="decimal"/>
      <w:start w:val="8"/>
    </w:lvl>
  </w:abstractNum>
  <w:abstractNum w:abstractNumId="82">
    <w:nsid w:val="4C04A8AF"/>
    <w:multiLevelType w:val="hybridMultilevel"/>
    <w:lvl w:ilvl="0">
      <w:lvlJc w:val="left"/>
      <w:lvlText w:val="%1."/>
      <w:numFmt w:val="decimal"/>
      <w:start w:val="9"/>
    </w:lvl>
  </w:abstractNum>
  <w:abstractNum w:abstractNumId="83">
    <w:nsid w:val="1716703B"/>
    <w:multiLevelType w:val="hybridMultilevel"/>
    <w:lvl w:ilvl="0">
      <w:lvlJc w:val="left"/>
      <w:lvlText w:val="%1."/>
      <w:numFmt w:val="decimal"/>
      <w:start w:val="10"/>
    </w:lvl>
  </w:abstractNum>
  <w:abstractNum w:abstractNumId="84">
    <w:nsid w:val="14E17E33"/>
    <w:multiLevelType w:val="hybridMultilevel"/>
    <w:lvl w:ilvl="0">
      <w:lvlJc w:val="left"/>
      <w:lvlText w:val="%1."/>
      <w:numFmt w:val="decimal"/>
      <w:start w:val="1"/>
    </w:lvl>
  </w:abstractNum>
  <w:abstractNum w:abstractNumId="85">
    <w:nsid w:val="3222E7CD"/>
    <w:multiLevelType w:val="hybridMultilevel"/>
    <w:lvl w:ilvl="0">
      <w:lvlJc w:val="left"/>
      <w:lvlText w:val="(%1)"/>
      <w:numFmt w:val="lowerLetter"/>
      <w:start w:val="1"/>
    </w:lvl>
  </w:abstractNum>
  <w:abstractNum w:abstractNumId="86">
    <w:nsid w:val="74DE0EE3"/>
    <w:multiLevelType w:val="hybridMultilevel"/>
    <w:lvl w:ilvl="0">
      <w:lvlJc w:val="left"/>
      <w:lvlText w:val="%1."/>
      <w:numFmt w:val="decimal"/>
      <w:start w:val="5"/>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1."/>
      <w:numFmt w:val="decimal"/>
      <w:start w:val="1"/>
    </w:lvl>
  </w:abstractNum>
  <w:abstractNum w:abstractNumId="89">
    <w:nsid w:val="46B7D447"/>
    <w:multiLevelType w:val="hybridMultilevel"/>
    <w:lvl w:ilvl="0">
      <w:lvlJc w:val="left"/>
      <w:lvlText w:val="(%1)"/>
      <w:numFmt w:val="lowerLetter"/>
      <w:start w:val="1"/>
    </w:lvl>
  </w:abstractNum>
  <w:abstractNum w:abstractNumId="90">
    <w:nsid w:val="4A2AC315"/>
    <w:multiLevelType w:val="hybridMultilevel"/>
    <w:lvl w:ilvl="0">
      <w:lvlJc w:val="left"/>
      <w:lvlText w:val="%1."/>
      <w:numFmt w:val="decimal"/>
      <w:start w:val="5"/>
    </w:lvl>
  </w:abstractNum>
  <w:abstractNum w:abstractNumId="91">
    <w:nsid w:val="39EE01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1" Type="http://schemas.openxmlformats.org/officeDocument/2006/relationships/image" Target="media/image163.png"/><Relationship Id="rId175"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9" Type="http://schemas.openxmlformats.org/officeDocument/2006/relationships/image" Target="media/image174.png"/><Relationship Id="rId202"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170" Type="http://schemas.openxmlformats.org/officeDocument/2006/relationships/hyperlink" Target="https://www.sec.gov/Archives/edgar/data/0001647639/000119312520309971/d867925dex34.htm" TargetMode="External"/><Relationship Id="rId172" Type="http://schemas.openxmlformats.org/officeDocument/2006/relationships/hyperlink" Target="https://www.sec.gov/Archives/edgar/data/0001647639/000119312520309971/d867925dex41.htm" TargetMode="External"/><Relationship Id="rId173" Type="http://schemas.openxmlformats.org/officeDocument/2006/relationships/hyperlink" Target="https://www.sec.gov/Archives/edgar/data/0001647639/000119312520288095/d867925dex42.htm" TargetMode="External"/><Relationship Id="rId174" Type="http://schemas.openxmlformats.org/officeDocument/2006/relationships/hyperlink" Target="https://www.sec.gov/Archives/edgar/data/1647639/000119312521252733/d210411dex41.htm" TargetMode="External"/><Relationship Id="rId176" Type="http://schemas.openxmlformats.org/officeDocument/2006/relationships/hyperlink" Target="https://www.sec.gov/Archives/edgar/data/0001647639/000119312520309971/d867925dex101.htm" TargetMode="External"/><Relationship Id="rId177" Type="http://schemas.openxmlformats.org/officeDocument/2006/relationships/hyperlink" Target="https://www.sec.gov/Archives/edgar/data/1647639/000164763921000037/exhibit101q32021-eiprsuopt.htm" TargetMode="External"/><Relationship Id="rId178" Type="http://schemas.openxmlformats.org/officeDocument/2006/relationships/hyperlink" Target="https://www.sec.gov/Archives/edgar/data/0001647639/000119312520288095/d867925dex103.htm" TargetMode="External"/><Relationship Id="rId179" Type="http://schemas.openxmlformats.org/officeDocument/2006/relationships/hyperlink" Target="https://www.sec.gov/Archives/edgar/data/0001647639/000119312520309971/d867925dex104.htm" TargetMode="External"/><Relationship Id="rId180" Type="http://schemas.openxmlformats.org/officeDocument/2006/relationships/hyperlink" Target="https://www.sec.gov/Archives/edgar/data/0001647639/000119312520309971/d867925dex105.htm" TargetMode="External"/><Relationship Id="rId181" Type="http://schemas.openxmlformats.org/officeDocument/2006/relationships/hyperlink" Target="https://www.sec.gov/Archives/edgar/data/1647639/000119312520309971/d867925dex106.htm" TargetMode="External"/><Relationship Id="rId182" Type="http://schemas.openxmlformats.org/officeDocument/2006/relationships/hyperlink" Target="https://www.sec.gov/Archives/edgar/data/0001647639/000119312520288095/d867925dex108.htm" TargetMode="External"/><Relationship Id="rId183" Type="http://schemas.openxmlformats.org/officeDocument/2006/relationships/hyperlink" Target="https://www.sec.gov/Archives/edgar/data/1647639/000164763921000037/exhibit103q32021sanmateosu.htm" TargetMode="External"/><Relationship Id="rId184" Type="http://schemas.openxmlformats.org/officeDocument/2006/relationships/hyperlink" Target="https://www.sec.gov/Archives/edgar/data/0001647639/000119312520309971/d867925dex1013.htm" TargetMode="External"/><Relationship Id="rId185" Type="http://schemas.openxmlformats.org/officeDocument/2006/relationships/hyperlink" Target="https://www.sec.gov/Archives/edgar/data/0001647639/000164763921000032/a102exhibit81221.htm" TargetMode="External"/><Relationship Id="rId186" Type="http://schemas.openxmlformats.org/officeDocument/2006/relationships/hyperlink" Target="https://www.sec.gov/Archives/edgar/data/0001647639/000119312520309971/d867925dex1014.htm" TargetMode="External"/><Relationship Id="rId187" Type="http://schemas.openxmlformats.org/officeDocument/2006/relationships/hyperlink" Target="https://www.sec.gov/Archives/edgar/data/0001647639/000164763921000032/a103exhibit81221.htm" TargetMode="External"/><Relationship Id="rId197" Type="http://schemas.openxmlformats.org/officeDocument/2006/relationships/hyperlink" Target="https://www.sec.gov/Archives/edgar/data/0001647639/000119312520288095/d867925dex1015.htm" TargetMode="External"/><Relationship Id="rId198" Type="http://schemas.openxmlformats.org/officeDocument/2006/relationships/hyperlink" Target="https://www.sec.gov/Archives/edgar/data/1647639/000119312520311387/d867925dex1016.htm" TargetMode="External"/><Relationship Id="rId200" Type="http://schemas.openxmlformats.org/officeDocument/2006/relationships/hyperlink" Target="https://www.sec.gov/Archives/edgar/data/1647639/000119312520311387/d867925dex1017.htm" TargetMode="External"/><Relationship Id="rId201" Type="http://schemas.openxmlformats.org/officeDocument/2006/relationships/hyperlink" Target="https://www.sec.gov/Archives/edgar/data/1647639/000119312521118191/d165331dex44.htm" TargetMode="External"/><Relationship Id="rId203" Type="http://schemas.openxmlformats.org/officeDocument/2006/relationships/hyperlink" Target="https://www.sec.gov/Archives/edgar/data/1647639/000119312521252733/d21041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2022-02-18T05:19:08Z</dcterms:created>
  <dcterms:modified xsi:type="dcterms:W3CDTF">2022-02-18T05:19:08Z</dcterms:modified>
</cp:coreProperties>
</file>