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Darling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UPSTART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2950 S. DELAWARE STREET, SUITE 410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Upstart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UPST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94403</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05/20/2025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6,732</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46.9766</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143,397</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to cover tax withholding obligations in connection with the vesting of restricted stock units (RSUs).</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$46.685 to $47.52.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RSUs. Each RSU represents a contingent right to receive one share of Common Stock, subject to the applicable vesting schedule and conditions of each RSU.</w:t>
      </w:r>
    </w:p>
    <w:p>
      <w:pPr>
        <w:sectPr>
          <w:pgSz w:w="11900" w:h="16838" w:orient="portrait"/>
          <w:cols w:equalWidth="0" w:num="1">
            <w:col w:w="11080"/>
          </w:cols>
          <w:pgMar w:left="460" w:top="219" w:right="359" w:bottom="1440" w:gutter="0" w:footer="0" w:header="0"/>
          <w:type w:val="continuous"/>
        </w:sectPr>
      </w:pP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Gabrielle Brown,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4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77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794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58259" TargetMode="External"/><Relationship Id="rId14" Type="http://schemas.openxmlformats.org/officeDocument/2006/relationships/hyperlink" Target="http://www.sec.gov/cgi-bin/browse-edgar?action=getcompany&amp;CIK=00016476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2025-05-22T16:58:38Z</dcterms:created>
  <dcterms:modified xsi:type="dcterms:W3CDTF">2025-05-22T16:58:38Z</dcterms:modified>
</cp:coreProperties>
</file>