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May 28, 2026</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Upstart Holdings,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105" w:right="339" w:bottom="1440" w:gutter="0" w:footer="0" w:header="0"/>
        </w:sectPr>
      </w:pPr>
    </w:p>
    <w:p>
      <w:pPr>
        <w:spacing w:after="0" w:line="147"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7"/>
          <w:szCs w:val="17"/>
          <w:b w:val="1"/>
          <w:bCs w:val="1"/>
          <w:color w:val="auto"/>
        </w:rPr>
        <w:t>001-39797</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46-4332431</w:t>
      </w:r>
    </w:p>
    <w:p>
      <w:pPr>
        <w:spacing w:after="0" w:line="67" w:lineRule="exact"/>
        <w:rPr>
          <w:sz w:val="24"/>
          <w:szCs w:val="24"/>
          <w:color w:val="auto"/>
        </w:rPr>
      </w:pPr>
    </w:p>
    <w:p>
      <w:pPr>
        <w:sectPr>
          <w:pgSz w:w="11900" w:h="16838" w:orient="portrait"/>
          <w:cols w:equalWidth="0" w:num="3">
            <w:col w:w="4520" w:space="720"/>
            <w:col w:w="2820" w:space="720"/>
            <w:col w:w="2460"/>
          </w:cols>
          <w:pgMar w:left="320" w:top="1105" w:right="3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560" w:space="720"/>
            <w:col w:w="3320"/>
          </w:cols>
          <w:pgMar w:left="320" w:top="1105" w:right="339" w:bottom="1440" w:gutter="0" w:footer="0" w:header="0"/>
          <w:type w:val="continuous"/>
        </w:sectPr>
      </w:pP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2950 S. Delaware Street, Suite 410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San Mateo, CA 94403</w:t>
      </w: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(833) 212-2461</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include area code)</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4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4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Trading Symbol</w:t>
            </w:r>
          </w:p>
        </w:tc>
        <w:tc>
          <w:tcPr>
            <w:tcW w:w="4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14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36"/>
        </w:trPr>
        <w:tc>
          <w:tcPr>
            <w:tcW w:w="140" w:type="dxa"/>
            <w:vAlign w:val="bottom"/>
          </w:tcPr>
          <w:p>
            <w:pPr>
              <w:spacing w:after="0"/>
              <w:rPr>
                <w:sz w:val="20"/>
                <w:szCs w:val="20"/>
                <w:color w:val="auto"/>
              </w:rPr>
            </w:pPr>
          </w:p>
        </w:tc>
        <w:tc>
          <w:tcPr>
            <w:tcW w:w="4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UPST</w:t>
            </w:r>
          </w:p>
        </w:tc>
        <w:tc>
          <w:tcPr>
            <w:tcW w:w="4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r>
      <w:tr>
        <w:trPr>
          <w:trHeight w:val="1519"/>
        </w:trPr>
        <w:tc>
          <w:tcPr>
            <w:tcW w:w="14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type w:val="continuous"/>
        </w:sectPr>
      </w:pPr>
    </w:p>
    <w:bookmarkStart w:id="1" w:name="page2"/>
    <w:bookmarkEnd w:id="1"/>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0"/>
          <w:szCs w:val="20"/>
          <w:color w:val="auto"/>
        </w:rPr>
      </w:pPr>
    </w:p>
    <w:p>
      <w:pPr>
        <w:ind w:left="5840"/>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w:t>
      </w:r>
    </w:p>
    <w:p>
      <w:pPr>
        <w:spacing w:after="0" w:line="34" w:lineRule="exact"/>
        <w:rPr>
          <w:sz w:val="20"/>
          <w:szCs w:val="20"/>
          <w:color w:val="auto"/>
        </w:rPr>
      </w:pPr>
    </w:p>
    <w:p>
      <w:pPr>
        <w:spacing w:after="0" w:line="207" w:lineRule="exact"/>
        <w:tabs>
          <w:tab w:leader="none" w:pos="8880" w:val="left"/>
        </w:tabs>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877"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Upstart Holdings, Inc. (the “Company”) held its annual meeting of stockholders on May 28, 2026. The Company’s stockholders voted on the following proposals, which are described in more detail in the Company’s definitive proxy statement filed with the United States Securities and Exchange Commission on April 16, 2026:</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Proposal One - Election of Class III Directors</w:t>
      </w:r>
      <w:r>
        <w:rPr>
          <w:rFonts w:ascii="Times New Roman" w:cs="Times New Roman" w:eastAsia="Times New Roman" w:hAnsi="Times New Roman"/>
          <w:sz w:val="18"/>
          <w:szCs w:val="18"/>
          <w:color w:val="auto"/>
        </w:rPr>
        <w:t>. The following nominees were each elected to serve as Class III directors on the Company’s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each to serve until the Company’s 2029 annual meeting of stockholders or until their successors are duly elected and qualified, by the following vote:</w:t>
      </w:r>
    </w:p>
    <w:p>
      <w:pPr>
        <w:spacing w:after="0" w:line="279"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38"/>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Nominee</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1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7"/>
        </w:trPr>
        <w:tc>
          <w:tcPr>
            <w:tcW w:w="3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3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Kerry Cooper</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29,222,726</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735,186</w:t>
            </w:r>
          </w:p>
        </w:tc>
        <w:tc>
          <w:tcPr>
            <w:tcW w:w="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23,319,927</w:t>
            </w:r>
          </w:p>
        </w:tc>
      </w:tr>
      <w:tr>
        <w:trPr>
          <w:trHeight w:val="243"/>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 Hentges</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29,485,142</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472,770</w:t>
            </w:r>
          </w:p>
        </w:tc>
        <w:tc>
          <w:tcPr>
            <w:tcW w:w="2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23,319,927</w:t>
            </w:r>
          </w:p>
        </w:tc>
      </w:tr>
      <w:tr>
        <w:trPr>
          <w:trHeight w:val="27"/>
        </w:trPr>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43"/>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Ciaran O’Kelly</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26,033,217</w:t>
            </w:r>
          </w:p>
        </w:tc>
        <w:tc>
          <w:tcPr>
            <w:tcW w:w="100" w:type="dxa"/>
            <w:vAlign w:val="bottom"/>
            <w:shd w:val="clear" w:color="auto" w:fill="CCEEFF"/>
          </w:tcPr>
          <w:p>
            <w:pPr>
              <w:spacing w:after="0"/>
              <w:rPr>
                <w:sz w:val="21"/>
                <w:szCs w:val="21"/>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3,924,695</w:t>
            </w:r>
          </w:p>
        </w:tc>
        <w:tc>
          <w:tcPr>
            <w:tcW w:w="200" w:type="dxa"/>
            <w:vAlign w:val="bottom"/>
            <w:shd w:val="clear" w:color="auto" w:fill="CCEEFF"/>
          </w:tcPr>
          <w:p>
            <w:pPr>
              <w:spacing w:after="0"/>
              <w:rPr>
                <w:sz w:val="21"/>
                <w:szCs w:val="21"/>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23,319,927</w:t>
            </w:r>
          </w:p>
        </w:tc>
      </w:tr>
      <w:tr>
        <w:trPr>
          <w:trHeight w:val="27"/>
        </w:trPr>
        <w:tc>
          <w:tcPr>
            <w:tcW w:w="3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Two - Ratification of the Appointment of Independent Registered Public Accounting Firm</w:t>
      </w:r>
      <w:r>
        <w:rPr>
          <w:rFonts w:ascii="Times New Roman" w:cs="Times New Roman" w:eastAsia="Times New Roman" w:hAnsi="Times New Roman"/>
          <w:sz w:val="18"/>
          <w:szCs w:val="18"/>
          <w:color w:val="auto"/>
        </w:rPr>
        <w:t>. A proposal to ratify the appointment of Deloitte &amp;</w:t>
      </w:r>
    </w:p>
    <w:p>
      <w:pPr>
        <w:spacing w:after="0" w:line="38"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Touche LLP as the Company’s independent registered public accounting firm for the current fiscal year ending December 31, 2026, was approved by the following vote:</w:t>
      </w:r>
    </w:p>
    <w:p>
      <w:pPr>
        <w:spacing w:after="0" w:line="239" w:lineRule="exact"/>
        <w:rPr>
          <w:sz w:val="20"/>
          <w:szCs w:val="20"/>
          <w:color w:val="auto"/>
        </w:rPr>
      </w:pPr>
    </w:p>
    <w:tbl>
      <w:tblPr>
        <w:tblLayout w:type="fixed"/>
        <w:tblInd w:w="2700" w:type="dxa"/>
        <w:tblCellMar>
          <w:top w:w="0" w:type="dxa"/>
          <w:left w:w="0" w:type="dxa"/>
          <w:bottom w:w="0" w:type="dxa"/>
          <w:right w:w="0" w:type="dxa"/>
        </w:tblCellMar>
      </w:tblPr>
      <w:tr>
        <w:trPr>
          <w:trHeight w:val="238"/>
        </w:trPr>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7"/>
        </w:trPr>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18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52,655,917</w:t>
            </w: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392,006</w:t>
            </w:r>
          </w:p>
        </w:tc>
        <w:tc>
          <w:tcPr>
            <w:tcW w:w="80" w:type="dxa"/>
            <w:vAlign w:val="bottom"/>
            <w:shd w:val="clear" w:color="auto" w:fill="CCEEFF"/>
          </w:tcPr>
          <w:p>
            <w:pPr>
              <w:spacing w:after="0"/>
              <w:rPr>
                <w:sz w:val="20"/>
                <w:szCs w:val="20"/>
                <w:color w:val="auto"/>
              </w:rPr>
            </w:pPr>
          </w:p>
        </w:tc>
        <w:tc>
          <w:tcPr>
            <w:tcW w:w="19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229,916</w:t>
            </w:r>
          </w:p>
        </w:tc>
      </w:tr>
      <w:tr>
        <w:trPr>
          <w:trHeight w:val="27"/>
        </w:trPr>
        <w:tc>
          <w:tcPr>
            <w:tcW w:w="1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331"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8"/>
          <w:szCs w:val="18"/>
          <w:i w:val="1"/>
          <w:iCs w:val="1"/>
          <w:color w:val="auto"/>
        </w:rPr>
        <w:t>Proposal Three - Advisory Vote on the Compensation of Named Executive Officers</w:t>
      </w:r>
      <w:r>
        <w:rPr>
          <w:rFonts w:ascii="Times New Roman" w:cs="Times New Roman" w:eastAsia="Times New Roman" w:hAnsi="Times New Roman"/>
          <w:sz w:val="18"/>
          <w:szCs w:val="18"/>
          <w:color w:val="auto"/>
        </w:rPr>
        <w:t>. A proposal to approve, on an advisory non-binding basis,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of the Company’s named executive officers, was approved by the following vote: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4280" w:type="dxa"/>
            <w:vAlign w:val="bottom"/>
            <w:gridSpan w:val="2"/>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44"/>
        </w:trPr>
        <w:tc>
          <w:tcPr>
            <w:tcW w:w="980" w:type="dxa"/>
            <w:vAlign w:val="bottom"/>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28,098,557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1,710,007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149,348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23,319,927</w:t>
            </w:r>
          </w:p>
        </w:tc>
        <w:tc>
          <w:tcPr>
            <w:tcW w:w="2380" w:type="dxa"/>
            <w:vAlign w:val="bottom"/>
          </w:tcPr>
          <w:p>
            <w:pPr>
              <w:spacing w:after="0"/>
              <w:rPr>
                <w:sz w:val="21"/>
                <w:szCs w:val="21"/>
                <w:color w:val="auto"/>
              </w:rPr>
            </w:pPr>
          </w:p>
        </w:tc>
      </w:tr>
      <w:tr>
        <w:trPr>
          <w:trHeight w:val="1505"/>
        </w:trPr>
        <w:tc>
          <w:tcPr>
            <w:tcW w:w="9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22"/>
          <w:szCs w:val="22"/>
          <w:b w:val="1"/>
          <w:bCs w:val="1"/>
          <w:color w:val="auto"/>
        </w:rPr>
        <w:t>Upstart Holdings, Inc.</w:t>
      </w:r>
    </w:p>
    <w:p>
      <w:pPr>
        <w:spacing w:after="0" w:line="57" w:lineRule="exact"/>
        <w:rPr>
          <w:sz w:val="20"/>
          <w:szCs w:val="20"/>
          <w:color w:val="auto"/>
        </w:rPr>
      </w:pPr>
    </w:p>
    <w:p>
      <w:pPr>
        <w:ind w:left="20"/>
        <w:spacing w:after="0"/>
        <w:tabs>
          <w:tab w:leader="none" w:pos="5780" w:val="left"/>
          <w:tab w:leader="none" w:pos="6480" w:val="left"/>
        </w:tabs>
        <w:rPr>
          <w:sz w:val="20"/>
          <w:szCs w:val="20"/>
          <w:color w:val="auto"/>
        </w:rPr>
      </w:pPr>
      <w:r>
        <w:rPr>
          <w:rFonts w:ascii="Times New Roman" w:cs="Times New Roman" w:eastAsia="Times New Roman" w:hAnsi="Times New Roman"/>
          <w:sz w:val="18"/>
          <w:szCs w:val="18"/>
          <w:color w:val="auto"/>
        </w:rPr>
        <w:t>Dated: May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Darling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34290</wp:posOffset>
            </wp:positionV>
            <wp:extent cx="30175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Scott Darling</w:t>
      </w:r>
    </w:p>
    <w:p>
      <w:pPr>
        <w:spacing w:after="0" w:line="6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Chief Legal Officer and Corporate Secretary</w:t>
      </w:r>
    </w:p>
    <w:sectPr>
      <w:pgSz w:w="11900" w:h="16838" w:orient="portrait"/>
      <w:cols w:equalWidth="0" w:num="1">
        <w:col w:w="11220"/>
      </w:cols>
      <w:pgMar w:left="320" w:top="10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2026-05-28T19:01:41Z</dcterms:created>
  <dcterms:modified xsi:type="dcterms:W3CDTF">2026-05-28T19:01:41Z</dcterms:modified>
</cp:coreProperties>
</file>