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8" w:lineRule="exact"/>
        <w:rPr>
          <w:sz w:val="24"/>
          <w:szCs w:val="24"/>
          <w:color w:val="auto"/>
        </w:rPr>
      </w:pPr>
    </w:p>
    <w:p>
      <w:pPr>
        <w:ind w:left="4660"/>
        <w:spacing w:after="0"/>
        <w:rPr>
          <w:sz w:val="20"/>
          <w:szCs w:val="20"/>
          <w:color w:val="auto"/>
        </w:rPr>
      </w:pPr>
      <w:r>
        <w:rPr>
          <w:rFonts w:ascii="Arial" w:cs="Arial" w:eastAsia="Arial" w:hAnsi="Arial"/>
          <w:sz w:val="15"/>
          <w:szCs w:val="15"/>
          <w:color w:val="auto"/>
        </w:rPr>
        <w:t>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51" w:lineRule="exact"/>
        <w:rPr>
          <w:sz w:val="24"/>
          <w:szCs w:val="24"/>
          <w:color w:val="auto"/>
        </w:rPr>
      </w:pPr>
    </w:p>
    <w:p>
      <w:pPr>
        <w:ind w:left="320"/>
        <w:spacing w:after="0"/>
        <w:rPr>
          <w:sz w:val="20"/>
          <w:szCs w:val="20"/>
          <w:color w:val="auto"/>
        </w:rPr>
      </w:pPr>
      <w:r>
        <w:rPr>
          <w:rFonts w:ascii="Arial" w:cs="Arial" w:eastAsia="Arial" w:hAnsi="Arial"/>
          <w:sz w:val="15"/>
          <w:szCs w:val="15"/>
          <w:color w:val="auto"/>
        </w:rPr>
        <w:t>(Mark One)</w:t>
      </w:r>
    </w:p>
    <w:p>
      <w:pPr>
        <w:spacing w:after="0" w:line="150" w:lineRule="exact"/>
        <w:rPr>
          <w:sz w:val="24"/>
          <w:szCs w:val="24"/>
          <w:color w:val="auto"/>
        </w:rPr>
      </w:pPr>
    </w:p>
    <w:p>
      <w:pPr>
        <w:ind w:left="4180" w:right="2400" w:hanging="3616"/>
        <w:spacing w:after="0" w:line="218" w:lineRule="auto"/>
        <w:tabs>
          <w:tab w:leader="none" w:pos="1395" w:val="left"/>
        </w:tabs>
        <w:numPr>
          <w:ilvl w:val="0"/>
          <w:numId w:val="1"/>
        </w:numPr>
        <w:rPr>
          <w:rFonts w:ascii="MS PGothic" w:cs="MS PGothic" w:eastAsia="MS PGothic" w:hAnsi="MS PGothic"/>
          <w:sz w:val="27"/>
          <w:szCs w:val="27"/>
          <w:color w:val="auto"/>
        </w:rPr>
      </w:pPr>
      <w:r>
        <w:rPr>
          <w:rFonts w:ascii="Arial" w:cs="Arial" w:eastAsia="Arial" w:hAnsi="Arial"/>
          <w:sz w:val="15"/>
          <w:szCs w:val="15"/>
          <w:color w:val="auto"/>
        </w:rPr>
        <w:t>QUARTERLY REPORT PURSUANT TO SECTION 13 OR 15(d) OF THE SECURITIES EXCHANGE ACT OF 1934 For the quarterly period ended March 31, 2023</w:t>
      </w:r>
    </w:p>
    <w:p>
      <w:pPr>
        <w:spacing w:after="0" w:line="10" w:lineRule="exact"/>
        <w:rPr>
          <w:rFonts w:ascii="MS PGothic" w:cs="MS PGothic" w:eastAsia="MS PGothic" w:hAnsi="MS PGothic"/>
          <w:sz w:val="27"/>
          <w:szCs w:val="27"/>
          <w:color w:val="auto"/>
        </w:rPr>
      </w:pPr>
    </w:p>
    <w:p>
      <w:pPr>
        <w:ind w:left="5520"/>
        <w:spacing w:after="0"/>
        <w:rPr>
          <w:rFonts w:ascii="MS PGothic" w:cs="MS PGothic" w:eastAsia="MS PGothic" w:hAnsi="MS PGothic"/>
          <w:sz w:val="27"/>
          <w:szCs w:val="27"/>
          <w:color w:val="auto"/>
        </w:rPr>
      </w:pPr>
      <w:r>
        <w:rPr>
          <w:rFonts w:ascii="Arial" w:cs="Arial" w:eastAsia="Arial" w:hAnsi="Arial"/>
          <w:sz w:val="15"/>
          <w:szCs w:val="15"/>
          <w:color w:val="auto"/>
        </w:rPr>
        <w:t>OR</w:t>
      </w:r>
    </w:p>
    <w:p>
      <w:pPr>
        <w:spacing w:after="0" w:line="76" w:lineRule="exact"/>
        <w:rPr>
          <w:sz w:val="24"/>
          <w:szCs w:val="24"/>
          <w:color w:val="auto"/>
        </w:rPr>
      </w:pPr>
    </w:p>
    <w:p>
      <w:pPr>
        <w:ind w:left="1380" w:hanging="816"/>
        <w:spacing w:after="0"/>
        <w:tabs>
          <w:tab w:leader="none" w:pos="1380" w:val="left"/>
        </w:tabs>
        <w:numPr>
          <w:ilvl w:val="0"/>
          <w:numId w:val="2"/>
        </w:numPr>
        <w:rPr>
          <w:rFonts w:ascii="MS PGothic" w:cs="MS PGothic" w:eastAsia="MS PGothic" w:hAnsi="MS PGothic"/>
          <w:sz w:val="27"/>
          <w:szCs w:val="27"/>
          <w:color w:val="auto"/>
        </w:rPr>
      </w:pPr>
      <w:r>
        <w:rPr>
          <w:rFonts w:ascii="Arial" w:cs="Arial" w:eastAsia="Arial" w:hAnsi="Arial"/>
          <w:sz w:val="15"/>
          <w:szCs w:val="15"/>
          <w:color w:val="auto"/>
        </w:rPr>
        <w:t>TRANSITION REPORT PURSUANT TO SECTION 13 OR 15(d) OF THE SECURITIES EXCHANGE ACT OF 1934</w:t>
      </w:r>
    </w:p>
    <w:p>
      <w:pPr>
        <w:spacing w:after="0" w:line="55" w:lineRule="exact"/>
        <w:rPr>
          <w:rFonts w:ascii="MS PGothic" w:cs="MS PGothic" w:eastAsia="MS PGothic" w:hAnsi="MS PGothic"/>
          <w:sz w:val="27"/>
          <w:szCs w:val="27"/>
          <w:color w:val="auto"/>
        </w:rPr>
      </w:pPr>
    </w:p>
    <w:p>
      <w:pPr>
        <w:ind w:left="3880"/>
        <w:spacing w:after="0"/>
        <w:rPr>
          <w:rFonts w:ascii="MS PGothic" w:cs="MS PGothic" w:eastAsia="MS PGothic" w:hAnsi="MS PGothic"/>
          <w:sz w:val="27"/>
          <w:szCs w:val="27"/>
          <w:color w:val="auto"/>
        </w:rPr>
      </w:pPr>
      <w:r>
        <w:rPr>
          <w:rFonts w:ascii="Arial" w:cs="Arial" w:eastAsia="Arial" w:hAnsi="Arial"/>
          <w:sz w:val="15"/>
          <w:szCs w:val="15"/>
          <w:b w:val="1"/>
          <w:bCs w:val="1"/>
          <w:color w:val="auto"/>
        </w:rPr>
        <w:t>For the transition period from</w:t>
      </w:r>
      <w:r>
        <w:rPr>
          <w:rFonts w:ascii="Arial" w:cs="Arial" w:eastAsia="Arial" w:hAnsi="Arial"/>
          <w:sz w:val="15"/>
          <w:szCs w:val="15"/>
          <w:b w:val="1"/>
          <w:bCs w:val="1"/>
          <w:u w:val="single" w:color="auto"/>
          <w:color w:val="auto"/>
        </w:rPr>
        <w:t>_________</w:t>
      </w:r>
      <w:r>
        <w:rPr>
          <w:rFonts w:ascii="Arial" w:cs="Arial" w:eastAsia="Arial" w:hAnsi="Arial"/>
          <w:sz w:val="15"/>
          <w:szCs w:val="15"/>
          <w:b w:val="1"/>
          <w:bCs w:val="1"/>
          <w:color w:val="auto"/>
        </w:rPr>
        <w:t xml:space="preserve">to </w:t>
      </w:r>
      <w:r>
        <w:rPr>
          <w:rFonts w:ascii="Arial" w:cs="Arial" w:eastAsia="Arial" w:hAnsi="Arial"/>
          <w:sz w:val="15"/>
          <w:szCs w:val="15"/>
          <w:b w:val="1"/>
          <w:bCs w:val="1"/>
          <w:u w:val="single" w:color="auto"/>
          <w:color w:val="auto"/>
        </w:rPr>
        <w:t>________</w:t>
      </w:r>
    </w:p>
    <w:p>
      <w:pPr>
        <w:spacing w:after="0" w:line="59" w:lineRule="exact"/>
        <w:rPr>
          <w:rFonts w:ascii="MS PGothic" w:cs="MS PGothic" w:eastAsia="MS PGothic" w:hAnsi="MS PGothic"/>
          <w:sz w:val="27"/>
          <w:szCs w:val="27"/>
          <w:color w:val="auto"/>
        </w:rPr>
      </w:pPr>
    </w:p>
    <w:p>
      <w:pPr>
        <w:ind w:left="4400"/>
        <w:spacing w:after="0"/>
        <w:rPr>
          <w:rFonts w:ascii="MS PGothic" w:cs="MS PGothic" w:eastAsia="MS PGothic" w:hAnsi="MS PGothic"/>
          <w:sz w:val="27"/>
          <w:szCs w:val="27"/>
          <w:color w:val="auto"/>
        </w:rPr>
      </w:pPr>
      <w:r>
        <w:rPr>
          <w:rFonts w:ascii="Arial" w:cs="Arial" w:eastAsia="Arial" w:hAnsi="Arial"/>
          <w:sz w:val="15"/>
          <w:szCs w:val="15"/>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46990</wp:posOffset>
            </wp:positionV>
            <wp:extent cx="1718945" cy="311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8945" cy="311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520" w:type="dxa"/>
        <w:tblCellMar>
          <w:top w:w="0" w:type="dxa"/>
          <w:left w:w="0" w:type="dxa"/>
          <w:bottom w:w="0" w:type="dxa"/>
          <w:right w:w="0" w:type="dxa"/>
        </w:tblCellMar>
      </w:tblPr>
      <w:tr>
        <w:trPr>
          <w:trHeight w:val="364"/>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Arial" w:cs="Arial" w:eastAsia="Arial" w:hAnsi="Arial"/>
                <w:sz w:val="29"/>
                <w:szCs w:val="29"/>
                <w:b w:val="1"/>
                <w:bCs w:val="1"/>
                <w:color w:val="auto"/>
                <w:w w:val="92"/>
              </w:rPr>
              <w:t>Upstart Holdings, Inc.</w:t>
            </w:r>
          </w:p>
        </w:tc>
        <w:tc>
          <w:tcPr>
            <w:tcW w:w="2480" w:type="dxa"/>
            <w:vAlign w:val="bottom"/>
          </w:tcPr>
          <w:p>
            <w:pPr>
              <w:spacing w:after="0"/>
              <w:rPr>
                <w:sz w:val="24"/>
                <w:szCs w:val="24"/>
                <w:color w:val="auto"/>
              </w:rPr>
            </w:pPr>
          </w:p>
        </w:tc>
      </w:tr>
      <w:tr>
        <w:trPr>
          <w:trHeight w:val="180"/>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Arial" w:cs="Arial" w:eastAsia="Arial" w:hAnsi="Arial"/>
                <w:sz w:val="15"/>
                <w:szCs w:val="15"/>
                <w:color w:val="auto"/>
                <w:w w:val="93"/>
              </w:rPr>
              <w:t>(Exact name of registrant as specified in its charter)</w:t>
            </w:r>
          </w:p>
        </w:tc>
        <w:tc>
          <w:tcPr>
            <w:tcW w:w="2480" w:type="dxa"/>
            <w:vAlign w:val="bottom"/>
          </w:tcPr>
          <w:p>
            <w:pPr>
              <w:spacing w:after="0"/>
              <w:rPr>
                <w:sz w:val="15"/>
                <w:szCs w:val="15"/>
                <w:color w:val="auto"/>
              </w:rPr>
            </w:pPr>
          </w:p>
        </w:tc>
      </w:tr>
      <w:tr>
        <w:trPr>
          <w:trHeight w:val="19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Arial" w:cs="Arial" w:eastAsia="Arial" w:hAnsi="Arial"/>
                <w:sz w:val="15"/>
                <w:szCs w:val="15"/>
                <w:color w:val="auto"/>
                <w:w w:val="93"/>
              </w:rPr>
              <w:t>_________________________</w:t>
            </w:r>
          </w:p>
        </w:tc>
        <w:tc>
          <w:tcPr>
            <w:tcW w:w="2480" w:type="dxa"/>
            <w:vAlign w:val="bottom"/>
          </w:tcPr>
          <w:p>
            <w:pPr>
              <w:spacing w:after="0"/>
              <w:rPr>
                <w:sz w:val="17"/>
                <w:szCs w:val="17"/>
                <w:color w:val="auto"/>
              </w:rPr>
            </w:pPr>
          </w:p>
        </w:tc>
      </w:tr>
      <w:tr>
        <w:trPr>
          <w:trHeight w:val="423"/>
        </w:trPr>
        <w:tc>
          <w:tcPr>
            <w:tcW w:w="700" w:type="dxa"/>
            <w:vAlign w:val="bottom"/>
          </w:tcPr>
          <w:p>
            <w:pPr>
              <w:spacing w:after="0"/>
              <w:rPr>
                <w:sz w:val="24"/>
                <w:szCs w:val="24"/>
                <w:color w:val="auto"/>
              </w:rPr>
            </w:pPr>
          </w:p>
        </w:tc>
        <w:tc>
          <w:tcPr>
            <w:tcW w:w="1760" w:type="dxa"/>
            <w:vAlign w:val="bottom"/>
            <w:gridSpan w:val="2"/>
          </w:tcPr>
          <w:p>
            <w:pPr>
              <w:jc w:val="center"/>
              <w:ind w:right="191"/>
              <w:spacing w:after="0"/>
              <w:rPr>
                <w:sz w:val="20"/>
                <w:szCs w:val="20"/>
                <w:color w:val="auto"/>
              </w:rPr>
            </w:pPr>
            <w:r>
              <w:rPr>
                <w:rFonts w:ascii="Arial" w:cs="Arial" w:eastAsia="Arial" w:hAnsi="Arial"/>
                <w:sz w:val="15"/>
                <w:szCs w:val="15"/>
                <w:b w:val="1"/>
                <w:bCs w:val="1"/>
                <w:color w:val="auto"/>
                <w:w w:val="94"/>
              </w:rPr>
              <w:t>Delaware</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80" w:type="dxa"/>
            <w:vAlign w:val="bottom"/>
          </w:tcPr>
          <w:p>
            <w:pPr>
              <w:jc w:val="center"/>
              <w:ind w:left="286"/>
              <w:spacing w:after="0"/>
              <w:rPr>
                <w:sz w:val="20"/>
                <w:szCs w:val="20"/>
                <w:color w:val="auto"/>
              </w:rPr>
            </w:pPr>
            <w:r>
              <w:rPr>
                <w:rFonts w:ascii="Arial" w:cs="Arial" w:eastAsia="Arial" w:hAnsi="Arial"/>
                <w:sz w:val="15"/>
                <w:szCs w:val="15"/>
                <w:b w:val="1"/>
                <w:bCs w:val="1"/>
                <w:color w:val="auto"/>
                <w:w w:val="94"/>
              </w:rPr>
              <w:t>46-4332431</w:t>
            </w:r>
          </w:p>
        </w:tc>
      </w:tr>
      <w:tr>
        <w:trPr>
          <w:trHeight w:val="155"/>
        </w:trPr>
        <w:tc>
          <w:tcPr>
            <w:tcW w:w="2460" w:type="dxa"/>
            <w:vAlign w:val="bottom"/>
            <w:gridSpan w:val="3"/>
          </w:tcPr>
          <w:p>
            <w:pPr>
              <w:jc w:val="center"/>
              <w:ind w:left="386"/>
              <w:spacing w:after="0" w:line="155" w:lineRule="exact"/>
              <w:rPr>
                <w:sz w:val="20"/>
                <w:szCs w:val="20"/>
                <w:color w:val="auto"/>
              </w:rPr>
            </w:pPr>
            <w:r>
              <w:rPr>
                <w:rFonts w:ascii="Arial" w:cs="Arial" w:eastAsia="Arial" w:hAnsi="Arial"/>
                <w:sz w:val="15"/>
                <w:szCs w:val="15"/>
                <w:color w:val="auto"/>
                <w:w w:val="95"/>
              </w:rPr>
              <w:t>(State or other jurisdiction of</w:t>
            </w: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80" w:type="dxa"/>
            <w:vAlign w:val="bottom"/>
          </w:tcPr>
          <w:p>
            <w:pPr>
              <w:jc w:val="center"/>
              <w:ind w:left="286"/>
              <w:spacing w:after="0" w:line="155" w:lineRule="exact"/>
              <w:rPr>
                <w:sz w:val="20"/>
                <w:szCs w:val="20"/>
                <w:color w:val="auto"/>
              </w:rPr>
            </w:pPr>
            <w:r>
              <w:rPr>
                <w:rFonts w:ascii="Arial" w:cs="Arial" w:eastAsia="Arial" w:hAnsi="Arial"/>
                <w:sz w:val="15"/>
                <w:szCs w:val="15"/>
                <w:color w:val="auto"/>
                <w:w w:val="94"/>
              </w:rPr>
              <w:t>(I.R.S. Employer</w:t>
            </w:r>
          </w:p>
        </w:tc>
      </w:tr>
      <w:tr>
        <w:trPr>
          <w:trHeight w:val="196"/>
        </w:trPr>
        <w:tc>
          <w:tcPr>
            <w:tcW w:w="2460" w:type="dxa"/>
            <w:vAlign w:val="bottom"/>
            <w:gridSpan w:val="3"/>
          </w:tcPr>
          <w:p>
            <w:pPr>
              <w:jc w:val="center"/>
              <w:ind w:left="366"/>
              <w:spacing w:after="0"/>
              <w:rPr>
                <w:sz w:val="20"/>
                <w:szCs w:val="20"/>
                <w:color w:val="auto"/>
              </w:rPr>
            </w:pPr>
            <w:r>
              <w:rPr>
                <w:rFonts w:ascii="Arial" w:cs="Arial" w:eastAsia="Arial" w:hAnsi="Arial"/>
                <w:sz w:val="15"/>
                <w:szCs w:val="15"/>
                <w:color w:val="auto"/>
                <w:w w:val="95"/>
              </w:rPr>
              <w:t>incorporation or organization)</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jc w:val="center"/>
              <w:ind w:left="286"/>
              <w:spacing w:after="0"/>
              <w:rPr>
                <w:sz w:val="20"/>
                <w:szCs w:val="20"/>
                <w:color w:val="auto"/>
              </w:rPr>
            </w:pPr>
            <w:r>
              <w:rPr>
                <w:rFonts w:ascii="Arial" w:cs="Arial" w:eastAsia="Arial" w:hAnsi="Arial"/>
                <w:sz w:val="15"/>
                <w:szCs w:val="15"/>
                <w:color w:val="auto"/>
                <w:w w:val="99"/>
              </w:rPr>
              <w:t>Identification No.)</w:t>
            </w:r>
          </w:p>
        </w:tc>
      </w:tr>
      <w:tr>
        <w:trPr>
          <w:trHeight w:val="309"/>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5"/>
              </w:rPr>
              <w:t>Upstart Holdings, Inc.</w:t>
            </w:r>
          </w:p>
        </w:tc>
        <w:tc>
          <w:tcPr>
            <w:tcW w:w="2480" w:type="dxa"/>
            <w:vAlign w:val="bottom"/>
          </w:tcPr>
          <w:p>
            <w:pPr>
              <w:spacing w:after="0"/>
              <w:rPr>
                <w:sz w:val="24"/>
                <w:szCs w:val="24"/>
                <w:color w:val="auto"/>
              </w:rPr>
            </w:pPr>
          </w:p>
        </w:tc>
      </w:tr>
      <w:tr>
        <w:trPr>
          <w:trHeight w:val="20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2"/>
              </w:rPr>
              <w:t>2950 S. Delaware Street, Suite 300</w:t>
            </w:r>
          </w:p>
        </w:tc>
        <w:tc>
          <w:tcPr>
            <w:tcW w:w="248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4"/>
              </w:rPr>
              <w:t>San Mateo, California 94403</w:t>
            </w:r>
          </w:p>
        </w:tc>
        <w:tc>
          <w:tcPr>
            <w:tcW w:w="2480" w:type="dxa"/>
            <w:vAlign w:val="bottom"/>
          </w:tcPr>
          <w:p>
            <w:pPr>
              <w:spacing w:after="0"/>
              <w:rPr>
                <w:sz w:val="17"/>
                <w:szCs w:val="17"/>
                <w:color w:val="auto"/>
              </w:rPr>
            </w:pPr>
          </w:p>
        </w:tc>
      </w:tr>
      <w:tr>
        <w:trPr>
          <w:trHeight w:val="174"/>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Arial" w:cs="Arial" w:eastAsia="Arial" w:hAnsi="Arial"/>
                <w:sz w:val="14"/>
                <w:szCs w:val="14"/>
                <w:color w:val="auto"/>
                <w:w w:val="90"/>
              </w:rPr>
              <w:t>(Address of principal executive offices, including zip code)</w:t>
            </w:r>
          </w:p>
        </w:tc>
        <w:tc>
          <w:tcPr>
            <w:tcW w:w="2480" w:type="dxa"/>
            <w:vAlign w:val="bottom"/>
          </w:tcPr>
          <w:p>
            <w:pPr>
              <w:spacing w:after="0"/>
              <w:rPr>
                <w:sz w:val="15"/>
                <w:szCs w:val="15"/>
                <w:color w:val="auto"/>
              </w:rPr>
            </w:pPr>
          </w:p>
        </w:tc>
      </w:tr>
      <w:tr>
        <w:trPr>
          <w:trHeight w:val="225"/>
        </w:trPr>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3"/>
              </w:rPr>
              <w:t>(650) 204-1000</w:t>
            </w:r>
          </w:p>
        </w:tc>
        <w:tc>
          <w:tcPr>
            <w:tcW w:w="2480" w:type="dxa"/>
            <w:vAlign w:val="bottom"/>
          </w:tcPr>
          <w:p>
            <w:pPr>
              <w:spacing w:after="0"/>
              <w:rPr>
                <w:sz w:val="19"/>
                <w:szCs w:val="19"/>
                <w:color w:val="auto"/>
              </w:rPr>
            </w:pPr>
          </w:p>
        </w:tc>
      </w:tr>
      <w:tr>
        <w:trPr>
          <w:trHeight w:val="174"/>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Arial" w:cs="Arial" w:eastAsia="Arial" w:hAnsi="Arial"/>
                <w:sz w:val="14"/>
                <w:szCs w:val="14"/>
                <w:color w:val="auto"/>
                <w:w w:val="88"/>
              </w:rPr>
              <w:t>(Registrant’s telephone number, including area code)</w:t>
            </w:r>
          </w:p>
        </w:tc>
        <w:tc>
          <w:tcPr>
            <w:tcW w:w="2480" w:type="dxa"/>
            <w:vAlign w:val="bottom"/>
          </w:tcPr>
          <w:p>
            <w:pPr>
              <w:spacing w:after="0"/>
              <w:rPr>
                <w:sz w:val="15"/>
                <w:szCs w:val="15"/>
                <w:color w:val="auto"/>
              </w:rPr>
            </w:pPr>
          </w:p>
        </w:tc>
      </w:tr>
      <w:tr>
        <w:trPr>
          <w:trHeight w:val="290"/>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Arial" w:cs="Arial" w:eastAsia="Arial" w:hAnsi="Arial"/>
                <w:sz w:val="15"/>
                <w:szCs w:val="15"/>
                <w:color w:val="auto"/>
                <w:w w:val="93"/>
              </w:rPr>
              <w:t>_________________________</w:t>
            </w:r>
          </w:p>
        </w:tc>
        <w:tc>
          <w:tcPr>
            <w:tcW w:w="2480" w:type="dxa"/>
            <w:vAlign w:val="bottom"/>
          </w:tcPr>
          <w:p>
            <w:pPr>
              <w:spacing w:after="0"/>
              <w:rPr>
                <w:sz w:val="24"/>
                <w:szCs w:val="24"/>
                <w:color w:val="auto"/>
              </w:rPr>
            </w:pPr>
          </w:p>
        </w:tc>
      </w:tr>
      <w:tr>
        <w:trPr>
          <w:trHeight w:val="394"/>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80" w:type="dxa"/>
            <w:vAlign w:val="bottom"/>
            <w:gridSpan w:val="5"/>
          </w:tcPr>
          <w:p>
            <w:pPr>
              <w:jc w:val="center"/>
              <w:ind w:right="1686"/>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r>
      <w:tr>
        <w:trPr>
          <w:trHeight w:val="179"/>
        </w:trPr>
        <w:tc>
          <w:tcPr>
            <w:tcW w:w="7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Title of each class:</w:t>
            </w: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gridSpan w:val="2"/>
          </w:tcPr>
          <w:p>
            <w:pPr>
              <w:jc w:val="center"/>
              <w:ind w:right="1200"/>
              <w:spacing w:after="0"/>
              <w:rPr>
                <w:sz w:val="20"/>
                <w:szCs w:val="20"/>
                <w:color w:val="auto"/>
              </w:rPr>
            </w:pPr>
            <w:r>
              <w:rPr>
                <w:rFonts w:ascii="Arial" w:cs="Arial" w:eastAsia="Arial" w:hAnsi="Arial"/>
                <w:sz w:val="14"/>
                <w:szCs w:val="14"/>
                <w:color w:val="auto"/>
                <w:w w:val="89"/>
              </w:rPr>
              <w:t>Trading Symbol</w:t>
            </w:r>
          </w:p>
        </w:tc>
        <w:tc>
          <w:tcPr>
            <w:tcW w:w="2480" w:type="dxa"/>
            <w:vAlign w:val="bottom"/>
          </w:tcPr>
          <w:p>
            <w:pPr>
              <w:jc w:val="center"/>
              <w:spacing w:after="0"/>
              <w:rPr>
                <w:sz w:val="20"/>
                <w:szCs w:val="20"/>
                <w:color w:val="auto"/>
              </w:rPr>
            </w:pPr>
            <w:r>
              <w:rPr>
                <w:rFonts w:ascii="Arial" w:cs="Arial" w:eastAsia="Arial" w:hAnsi="Arial"/>
                <w:sz w:val="14"/>
                <w:szCs w:val="14"/>
                <w:color w:val="auto"/>
                <w:w w:val="88"/>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00"/>
        </w:trPr>
        <w:tc>
          <w:tcPr>
            <w:tcW w:w="2460" w:type="dxa"/>
            <w:vAlign w:val="bottom"/>
            <w:gridSpan w:val="3"/>
          </w:tcPr>
          <w:p>
            <w:pPr>
              <w:jc w:val="center"/>
              <w:spacing w:after="0"/>
              <w:rPr>
                <w:sz w:val="20"/>
                <w:szCs w:val="20"/>
                <w:color w:val="auto"/>
              </w:rPr>
            </w:pPr>
            <w:r>
              <w:rPr>
                <w:rFonts w:ascii="Arial" w:cs="Arial" w:eastAsia="Arial" w:hAnsi="Arial"/>
                <w:sz w:val="14"/>
                <w:szCs w:val="14"/>
                <w:color w:val="auto"/>
                <w:w w:val="87"/>
              </w:rPr>
              <w:t>Common Stock, par value $0.0001 per share</w:t>
            </w:r>
          </w:p>
        </w:tc>
        <w:tc>
          <w:tcPr>
            <w:tcW w:w="1200" w:type="dxa"/>
            <w:vAlign w:val="bottom"/>
          </w:tcPr>
          <w:p>
            <w:pPr>
              <w:spacing w:after="0"/>
              <w:rPr>
                <w:sz w:val="17"/>
                <w:szCs w:val="17"/>
                <w:color w:val="auto"/>
              </w:rPr>
            </w:pPr>
          </w:p>
        </w:tc>
        <w:tc>
          <w:tcPr>
            <w:tcW w:w="2080" w:type="dxa"/>
            <w:vAlign w:val="bottom"/>
            <w:gridSpan w:val="2"/>
          </w:tcPr>
          <w:p>
            <w:pPr>
              <w:jc w:val="center"/>
              <w:ind w:right="1220"/>
              <w:spacing w:after="0"/>
              <w:rPr>
                <w:sz w:val="20"/>
                <w:szCs w:val="20"/>
                <w:color w:val="auto"/>
              </w:rPr>
            </w:pPr>
            <w:r>
              <w:rPr>
                <w:rFonts w:ascii="Arial" w:cs="Arial" w:eastAsia="Arial" w:hAnsi="Arial"/>
                <w:sz w:val="14"/>
                <w:szCs w:val="14"/>
                <w:color w:val="auto"/>
                <w:w w:val="90"/>
              </w:rPr>
              <w:t>UPST</w:t>
            </w:r>
          </w:p>
        </w:tc>
        <w:tc>
          <w:tcPr>
            <w:tcW w:w="2480" w:type="dxa"/>
            <w:vAlign w:val="bottom"/>
          </w:tcPr>
          <w:p>
            <w:pPr>
              <w:jc w:val="center"/>
              <w:spacing w:after="0"/>
              <w:rPr>
                <w:sz w:val="20"/>
                <w:szCs w:val="20"/>
                <w:color w:val="auto"/>
              </w:rPr>
            </w:pPr>
            <w:r>
              <w:rPr>
                <w:rFonts w:ascii="Arial" w:cs="Arial" w:eastAsia="Arial" w:hAnsi="Arial"/>
                <w:sz w:val="14"/>
                <w:szCs w:val="14"/>
                <w:color w:val="auto"/>
                <w:w w:val="88"/>
              </w:rPr>
              <w:t>Nasdaq Global Select Market</w:t>
            </w:r>
          </w:p>
        </w:tc>
      </w:tr>
    </w:tbl>
    <w:p>
      <w:pPr>
        <w:spacing w:after="0" w:line="187"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spacing w:after="0" w:line="2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93"/>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040" w:type="dxa"/>
            <w:vAlign w:val="bottom"/>
          </w:tcPr>
          <w:p>
            <w:pPr>
              <w:ind w:left="300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0"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0"/>
          <w:szCs w:val="20"/>
          <w:color w:val="auto"/>
        </w:rPr>
      </w:pPr>
    </w:p>
    <w:p>
      <w:pPr>
        <w:ind w:right="4820"/>
        <w:spacing w:after="0" w:line="23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May 1, 2023 there were 82,670,997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4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195"/>
        </w:trPr>
        <w:tc>
          <w:tcPr>
            <w:tcW w:w="7860" w:type="dxa"/>
            <w:vAlign w:val="bottom"/>
            <w:gridSpan w:val="21"/>
          </w:tcPr>
          <w:p>
            <w:pPr>
              <w:spacing w:after="0" w:line="175" w:lineRule="exact"/>
              <w:rPr>
                <w:sz w:val="20"/>
                <w:szCs w:val="20"/>
                <w:color w:val="auto"/>
              </w:rPr>
            </w:pPr>
            <w:r>
              <w:rPr>
                <w:rFonts w:ascii="Arial" w:cs="Arial" w:eastAsia="Arial" w:hAnsi="Arial"/>
                <w:sz w:val="17"/>
                <w:szCs w:val="17"/>
                <w:b w:val="1"/>
                <w:bCs w:val="1"/>
                <w:color w:val="0000FF"/>
              </w:rPr>
              <w:t>SPECIAL NOTE REGARDING FORWARD-LOOKING STATEMENTS</w:t>
            </w:r>
          </w:p>
        </w:tc>
        <w:tc>
          <w:tcPr>
            <w:tcW w:w="3340" w:type="dxa"/>
            <w:vAlign w:val="bottom"/>
          </w:tcPr>
          <w:p>
            <w:pPr>
              <w:jc w:val="right"/>
              <w:spacing w:after="0" w:line="175" w:lineRule="exact"/>
              <w:rPr>
                <w:sz w:val="20"/>
                <w:szCs w:val="20"/>
                <w:color w:val="auto"/>
              </w:rPr>
            </w:pPr>
            <w:r>
              <w:rPr>
                <w:rFonts w:ascii="Arial" w:cs="Arial" w:eastAsia="Arial" w:hAnsi="Arial"/>
                <w:sz w:val="17"/>
                <w:szCs w:val="17"/>
                <w:color w:val="auto"/>
              </w:rPr>
              <w:t>4</w:t>
            </w:r>
          </w:p>
        </w:tc>
      </w:tr>
      <w:tr>
        <w:trPr>
          <w:trHeight w:val="470"/>
        </w:trPr>
        <w:tc>
          <w:tcPr>
            <w:tcW w:w="5400" w:type="dxa"/>
            <w:vAlign w:val="bottom"/>
            <w:tcBorders>
              <w:top w:val="single" w:sz="8" w:color="0000FF"/>
            </w:tcBorders>
            <w:gridSpan w:val="15"/>
          </w:tcPr>
          <w:p>
            <w:pPr>
              <w:spacing w:after="0"/>
              <w:rPr>
                <w:sz w:val="20"/>
                <w:szCs w:val="20"/>
                <w:color w:val="auto"/>
              </w:rPr>
            </w:pPr>
            <w:r>
              <w:rPr>
                <w:rFonts w:ascii="Arial" w:cs="Arial" w:eastAsia="Arial" w:hAnsi="Arial"/>
                <w:sz w:val="17"/>
                <w:szCs w:val="17"/>
                <w:b w:val="1"/>
                <w:bCs w:val="1"/>
                <w:color w:val="0000FF"/>
              </w:rPr>
              <w:t>PART I. FINANCIAL INFORMATION</w:t>
            </w:r>
          </w:p>
        </w:tc>
        <w:tc>
          <w:tcPr>
            <w:tcW w:w="2460" w:type="dxa"/>
            <w:vAlign w:val="bottom"/>
            <w:gridSpan w:val="6"/>
          </w:tcPr>
          <w:p>
            <w:pPr>
              <w:spacing w:after="0"/>
              <w:rPr>
                <w:sz w:val="24"/>
                <w:szCs w:val="24"/>
                <w:color w:val="auto"/>
              </w:rPr>
            </w:pPr>
          </w:p>
        </w:tc>
        <w:tc>
          <w:tcPr>
            <w:tcW w:w="334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w:t>
            </w:r>
          </w:p>
        </w:tc>
        <w:tc>
          <w:tcPr>
            <w:tcW w:w="6180" w:type="dxa"/>
            <w:vAlign w:val="bottom"/>
            <w:gridSpan w:val="18"/>
          </w:tcPr>
          <w:p>
            <w:pPr>
              <w:spacing w:after="0"/>
              <w:rPr>
                <w:sz w:val="20"/>
                <w:szCs w:val="20"/>
                <w:color w:val="auto"/>
              </w:rPr>
            </w:pPr>
            <w:r>
              <w:rPr>
                <w:rFonts w:ascii="Arial" w:cs="Arial" w:eastAsia="Arial" w:hAnsi="Arial"/>
                <w:sz w:val="17"/>
                <w:szCs w:val="17"/>
                <w:color w:val="0000FF"/>
              </w:rPr>
              <w:t>Financial Statements</w:t>
            </w:r>
          </w:p>
        </w:tc>
        <w:tc>
          <w:tcPr>
            <w:tcW w:w="3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88"/>
              </w:rPr>
              <w:t>Condensed Consolidated Balance Sheets</w:t>
            </w:r>
          </w:p>
        </w:tc>
        <w:tc>
          <w:tcPr>
            <w:tcW w:w="3360" w:type="dxa"/>
            <w:vAlign w:val="bottom"/>
            <w:gridSpan w:val="9"/>
          </w:tcPr>
          <w:p>
            <w:pPr>
              <w:spacing w:after="0"/>
              <w:rPr>
                <w:sz w:val="17"/>
                <w:szCs w:val="17"/>
                <w:color w:val="auto"/>
              </w:rPr>
            </w:pPr>
          </w:p>
        </w:tc>
        <w:tc>
          <w:tcPr>
            <w:tcW w:w="3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96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0"/>
              </w:rPr>
              <w:t>Condensed Consolidated Statements of Operations and Comprehensive Income (Loss)</w:t>
            </w:r>
          </w:p>
        </w:tc>
        <w:tc>
          <w:tcPr>
            <w:tcW w:w="220" w:type="dxa"/>
            <w:vAlign w:val="bottom"/>
          </w:tcPr>
          <w:p>
            <w:pPr>
              <w:spacing w:after="0"/>
              <w:rPr>
                <w:sz w:val="17"/>
                <w:szCs w:val="17"/>
                <w:color w:val="auto"/>
              </w:rPr>
            </w:pPr>
          </w:p>
        </w:tc>
        <w:tc>
          <w:tcPr>
            <w:tcW w:w="3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180" w:type="dxa"/>
            <w:vAlign w:val="bottom"/>
            <w:gridSpan w:val="18"/>
          </w:tcPr>
          <w:p>
            <w:pPr>
              <w:spacing w:after="0"/>
              <w:rPr>
                <w:sz w:val="20"/>
                <w:szCs w:val="20"/>
                <w:color w:val="auto"/>
              </w:rPr>
            </w:pPr>
            <w:r>
              <w:rPr>
                <w:rFonts w:ascii="Arial" w:cs="Arial" w:eastAsia="Arial" w:hAnsi="Arial"/>
                <w:sz w:val="17"/>
                <w:szCs w:val="17"/>
                <w:color w:val="0000FF"/>
              </w:rPr>
              <w:t>Condensed Consolidated Statements of Stockholders’ Equity</w:t>
            </w:r>
          </w:p>
        </w:tc>
        <w:tc>
          <w:tcPr>
            <w:tcW w:w="33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7"/>
                <w:szCs w:val="17"/>
                <w:color w:val="0000FF"/>
                <w:w w:val="89"/>
              </w:rPr>
              <w:t>Condensed Consolidated Statements of Cash Flows</w:t>
            </w:r>
          </w:p>
        </w:tc>
        <w:tc>
          <w:tcPr>
            <w:tcW w:w="640" w:type="dxa"/>
            <w:vAlign w:val="bottom"/>
            <w:tcBorders>
              <w:top w:val="single" w:sz="8" w:color="0000FF"/>
            </w:tcBorders>
            <w:gridSpan w:val="5"/>
          </w:tcPr>
          <w:p>
            <w:pPr>
              <w:spacing w:after="0"/>
              <w:rPr>
                <w:sz w:val="17"/>
                <w:szCs w:val="17"/>
                <w:color w:val="auto"/>
              </w:rPr>
            </w:pPr>
          </w:p>
        </w:tc>
        <w:tc>
          <w:tcPr>
            <w:tcW w:w="1980" w:type="dxa"/>
            <w:vAlign w:val="bottom"/>
            <w:gridSpan w:val="2"/>
          </w:tcPr>
          <w:p>
            <w:pPr>
              <w:spacing w:after="0"/>
              <w:rPr>
                <w:sz w:val="17"/>
                <w:szCs w:val="17"/>
                <w:color w:val="auto"/>
              </w:rPr>
            </w:pPr>
          </w:p>
        </w:tc>
        <w:tc>
          <w:tcPr>
            <w:tcW w:w="33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8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0"/>
              </w:rPr>
              <w:t>Notes to the Condensed Consolidated Financial Statements</w:t>
            </w:r>
          </w:p>
        </w:tc>
        <w:tc>
          <w:tcPr>
            <w:tcW w:w="2100" w:type="dxa"/>
            <w:vAlign w:val="bottom"/>
            <w:gridSpan w:val="5"/>
          </w:tcPr>
          <w:p>
            <w:pPr>
              <w:spacing w:after="0"/>
              <w:rPr>
                <w:sz w:val="17"/>
                <w:szCs w:val="17"/>
                <w:color w:val="auto"/>
              </w:rPr>
            </w:pPr>
          </w:p>
        </w:tc>
        <w:tc>
          <w:tcPr>
            <w:tcW w:w="33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8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w w:val="92"/>
              </w:rPr>
              <w:t>Management’s Discussion and Analysis of Financial Condition and Results of Operations</w:t>
            </w:r>
          </w:p>
        </w:tc>
        <w:tc>
          <w:tcPr>
            <w:tcW w:w="33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8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2000" w:type="dxa"/>
            <w:vAlign w:val="bottom"/>
            <w:gridSpan w:val="3"/>
          </w:tcPr>
          <w:p>
            <w:pPr>
              <w:spacing w:after="0"/>
              <w:rPr>
                <w:sz w:val="17"/>
                <w:szCs w:val="17"/>
                <w:color w:val="auto"/>
              </w:rPr>
            </w:pPr>
          </w:p>
        </w:tc>
        <w:tc>
          <w:tcPr>
            <w:tcW w:w="33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89"/>
              </w:rPr>
              <w:t>Controls and Procedures</w:t>
            </w:r>
          </w:p>
        </w:tc>
        <w:tc>
          <w:tcPr>
            <w:tcW w:w="4480" w:type="dxa"/>
            <w:vAlign w:val="bottom"/>
            <w:gridSpan w:val="11"/>
          </w:tcPr>
          <w:p>
            <w:pPr>
              <w:spacing w:after="0"/>
              <w:rPr>
                <w:sz w:val="17"/>
                <w:szCs w:val="17"/>
                <w:color w:val="auto"/>
              </w:rPr>
            </w:pPr>
          </w:p>
        </w:tc>
        <w:tc>
          <w:tcPr>
            <w:tcW w:w="334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457"/>
        </w:trPr>
        <w:tc>
          <w:tcPr>
            <w:tcW w:w="7860" w:type="dxa"/>
            <w:vAlign w:val="bottom"/>
            <w:gridSpan w:val="21"/>
          </w:tcPr>
          <w:p>
            <w:pPr>
              <w:spacing w:after="0"/>
              <w:rPr>
                <w:sz w:val="20"/>
                <w:szCs w:val="20"/>
                <w:color w:val="auto"/>
              </w:rPr>
            </w:pPr>
            <w:r>
              <w:rPr>
                <w:rFonts w:ascii="Arial" w:cs="Arial" w:eastAsia="Arial" w:hAnsi="Arial"/>
                <w:sz w:val="17"/>
                <w:szCs w:val="17"/>
                <w:b w:val="1"/>
                <w:bCs w:val="1"/>
                <w:color w:val="0000FF"/>
              </w:rPr>
              <w:t>PART II. OTHER INFORMATION</w:t>
            </w:r>
          </w:p>
        </w:tc>
        <w:tc>
          <w:tcPr>
            <w:tcW w:w="334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w:t>
            </w:r>
          </w:p>
        </w:tc>
        <w:tc>
          <w:tcPr>
            <w:tcW w:w="6180" w:type="dxa"/>
            <w:vAlign w:val="bottom"/>
            <w:gridSpan w:val="18"/>
          </w:tcPr>
          <w:p>
            <w:pPr>
              <w:spacing w:after="0"/>
              <w:rPr>
                <w:sz w:val="20"/>
                <w:szCs w:val="20"/>
                <w:color w:val="auto"/>
              </w:rPr>
            </w:pPr>
            <w:r>
              <w:rPr>
                <w:rFonts w:ascii="Arial" w:cs="Arial" w:eastAsia="Arial" w:hAnsi="Arial"/>
                <w:sz w:val="17"/>
                <w:szCs w:val="17"/>
                <w:color w:val="0000FF"/>
              </w:rPr>
              <w:t>Legal Proceedings</w:t>
            </w:r>
          </w:p>
        </w:tc>
        <w:tc>
          <w:tcPr>
            <w:tcW w:w="33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0"/>
              </w:rPr>
              <w:t>Risk Factors</w:t>
            </w:r>
          </w:p>
        </w:tc>
        <w:tc>
          <w:tcPr>
            <w:tcW w:w="400" w:type="dxa"/>
            <w:vAlign w:val="bottom"/>
            <w:tcBorders>
              <w:top w:val="single" w:sz="8" w:color="0000FF"/>
            </w:tcBorders>
            <w:gridSpan w:val="4"/>
          </w:tcPr>
          <w:p>
            <w:pPr>
              <w:spacing w:after="0"/>
              <w:rPr>
                <w:sz w:val="17"/>
                <w:szCs w:val="17"/>
                <w:color w:val="auto"/>
              </w:rPr>
            </w:pPr>
          </w:p>
        </w:tc>
        <w:tc>
          <w:tcPr>
            <w:tcW w:w="4900" w:type="dxa"/>
            <w:vAlign w:val="bottom"/>
            <w:gridSpan w:val="13"/>
          </w:tcPr>
          <w:p>
            <w:pPr>
              <w:spacing w:after="0"/>
              <w:rPr>
                <w:sz w:val="17"/>
                <w:szCs w:val="17"/>
                <w:color w:val="auto"/>
              </w:rPr>
            </w:pPr>
          </w:p>
        </w:tc>
        <w:tc>
          <w:tcPr>
            <w:tcW w:w="33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80" w:type="dxa"/>
            <w:vAlign w:val="bottom"/>
            <w:gridSpan w:val="18"/>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334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60" w:type="dxa"/>
            <w:vAlign w:val="bottom"/>
            <w:tcBorders>
              <w:top w:val="single" w:sz="8" w:color="0000FF"/>
            </w:tcBorders>
            <w:gridSpan w:val="14"/>
          </w:tcPr>
          <w:p>
            <w:pPr>
              <w:spacing w:after="0"/>
              <w:rPr>
                <w:sz w:val="20"/>
                <w:szCs w:val="20"/>
                <w:color w:val="auto"/>
              </w:rPr>
            </w:pPr>
            <w:r>
              <w:rPr>
                <w:rFonts w:ascii="Arial" w:cs="Arial" w:eastAsia="Arial" w:hAnsi="Arial"/>
                <w:sz w:val="17"/>
                <w:szCs w:val="17"/>
                <w:color w:val="0000FF"/>
              </w:rPr>
              <w:t>Defaults Upon Senior Securities</w:t>
            </w:r>
          </w:p>
        </w:tc>
        <w:tc>
          <w:tcPr>
            <w:tcW w:w="2020" w:type="dxa"/>
            <w:vAlign w:val="bottom"/>
            <w:gridSpan w:val="4"/>
          </w:tcPr>
          <w:p>
            <w:pPr>
              <w:spacing w:after="0"/>
              <w:rPr>
                <w:sz w:val="17"/>
                <w:szCs w:val="17"/>
                <w:color w:val="auto"/>
              </w:rPr>
            </w:pPr>
          </w:p>
        </w:tc>
        <w:tc>
          <w:tcPr>
            <w:tcW w:w="334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7"/>
                <w:szCs w:val="17"/>
                <w:color w:val="0000FF"/>
                <w:w w:val="92"/>
              </w:rPr>
              <w:t>Mine Safety Disclosures</w:t>
            </w:r>
          </w:p>
        </w:tc>
        <w:tc>
          <w:tcPr>
            <w:tcW w:w="520" w:type="dxa"/>
            <w:vAlign w:val="bottom"/>
            <w:tcBorders>
              <w:top w:val="single" w:sz="8" w:color="0000FF"/>
            </w:tcBorders>
          </w:tcPr>
          <w:p>
            <w:pPr>
              <w:spacing w:after="0"/>
              <w:rPr>
                <w:sz w:val="17"/>
                <w:szCs w:val="17"/>
                <w:color w:val="auto"/>
              </w:rPr>
            </w:pPr>
          </w:p>
        </w:tc>
        <w:tc>
          <w:tcPr>
            <w:tcW w:w="3960" w:type="dxa"/>
            <w:vAlign w:val="bottom"/>
            <w:gridSpan w:val="10"/>
          </w:tcPr>
          <w:p>
            <w:pPr>
              <w:spacing w:after="0"/>
              <w:rPr>
                <w:sz w:val="17"/>
                <w:szCs w:val="17"/>
                <w:color w:val="auto"/>
              </w:rPr>
            </w:pPr>
          </w:p>
        </w:tc>
        <w:tc>
          <w:tcPr>
            <w:tcW w:w="334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5.</w:t>
            </w:r>
          </w:p>
        </w:tc>
        <w:tc>
          <w:tcPr>
            <w:tcW w:w="6180" w:type="dxa"/>
            <w:vAlign w:val="bottom"/>
            <w:gridSpan w:val="18"/>
          </w:tcPr>
          <w:p>
            <w:pPr>
              <w:spacing w:after="0"/>
              <w:rPr>
                <w:sz w:val="20"/>
                <w:szCs w:val="20"/>
                <w:color w:val="auto"/>
              </w:rPr>
            </w:pPr>
            <w:r>
              <w:rPr>
                <w:rFonts w:ascii="Arial" w:cs="Arial" w:eastAsia="Arial" w:hAnsi="Arial"/>
                <w:sz w:val="17"/>
                <w:szCs w:val="17"/>
                <w:color w:val="0000FF"/>
              </w:rPr>
              <w:t>Other Information</w:t>
            </w:r>
          </w:p>
        </w:tc>
        <w:tc>
          <w:tcPr>
            <w:tcW w:w="334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6.</w:t>
            </w:r>
          </w:p>
        </w:tc>
        <w:tc>
          <w:tcPr>
            <w:tcW w:w="6180" w:type="dxa"/>
            <w:vAlign w:val="bottom"/>
            <w:gridSpan w:val="18"/>
          </w:tcPr>
          <w:p>
            <w:pPr>
              <w:spacing w:after="0"/>
              <w:rPr>
                <w:sz w:val="20"/>
                <w:szCs w:val="20"/>
                <w:color w:val="auto"/>
              </w:rPr>
            </w:pPr>
            <w:r>
              <w:rPr>
                <w:rFonts w:ascii="Arial" w:cs="Arial" w:eastAsia="Arial" w:hAnsi="Arial"/>
                <w:sz w:val="17"/>
                <w:szCs w:val="17"/>
                <w:color w:val="0000FF"/>
              </w:rPr>
              <w:t>Exhibits and Financial Statement Schedules</w:t>
            </w:r>
          </w:p>
        </w:tc>
        <w:tc>
          <w:tcPr>
            <w:tcW w:w="334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199"/>
        </w:trPr>
        <w:tc>
          <w:tcPr>
            <w:tcW w:w="300" w:type="dxa"/>
            <w:vAlign w:val="bottom"/>
          </w:tcPr>
          <w:p>
            <w:pPr>
              <w:spacing w:after="0"/>
              <w:rPr>
                <w:sz w:val="17"/>
                <w:szCs w:val="17"/>
                <w:color w:val="auto"/>
              </w:rPr>
            </w:pPr>
          </w:p>
        </w:tc>
        <w:tc>
          <w:tcPr>
            <w:tcW w:w="7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8"/>
              </w:rPr>
              <w:t>Signatures</w:t>
            </w:r>
          </w:p>
        </w:tc>
        <w:tc>
          <w:tcPr>
            <w:tcW w:w="640" w:type="dxa"/>
            <w:vAlign w:val="bottom"/>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Pr>
          <w:p>
            <w:pPr>
              <w:jc w:val="right"/>
              <w:spacing w:after="0"/>
              <w:rPr>
                <w:sz w:val="20"/>
                <w:szCs w:val="20"/>
                <w:color w:val="auto"/>
              </w:rPr>
            </w:pPr>
            <w:r>
              <w:rPr>
                <w:rFonts w:ascii="Arial" w:cs="Arial" w:eastAsia="Arial" w:hAnsi="Arial"/>
                <w:sz w:val="17"/>
                <w:szCs w:val="17"/>
                <w:color w:val="auto"/>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353" w:right="35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19" w:lineRule="exact"/>
        <w:rPr>
          <w:sz w:val="20"/>
          <w:szCs w:val="20"/>
          <w:color w:val="auto"/>
        </w:rPr>
      </w:pPr>
    </w:p>
    <w:p>
      <w:pPr>
        <w:ind w:left="620" w:right="38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our operating expenses, our ability to determine reserves and our ability to achieve and maintain profitability;</w:t>
      </w:r>
    </w:p>
    <w:p>
      <w:pPr>
        <w:spacing w:after="0" w:line="99"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improve the effectiveness and predictiveness of our AI models and our expectations that improvements in our AI models can lead to higher approval rates and lower interest rates;</w:t>
      </w:r>
    </w:p>
    <w:p>
      <w:pPr>
        <w:spacing w:after="0" w:line="86"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increase the volume of loans facilitated through our AI lending marketplace;</w:t>
      </w:r>
    </w:p>
    <w:p>
      <w:pPr>
        <w:spacing w:after="0" w:line="152"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maintain a diversified loan funding strategy, including lending partnerships and whole loan sales and securitization transactions;</w:t>
      </w:r>
    </w:p>
    <w:p>
      <w:pPr>
        <w:spacing w:after="0" w:line="99"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expectations regarding funding loans through our balance sheet and allocations of cash and timing for any share repurchases and other investments;</w:t>
      </w:r>
    </w:p>
    <w:p>
      <w:pPr>
        <w:spacing w:after="0" w:line="86"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competitive interest rates offered to borrowers on our platform, while enabling our lending partners and institutional investors to achieve an adequate return over their cost of funding;</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build our brand and protect our reputation from negative publicity;</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increase the effectiveness of our marketing strategies, including our direct consumer marketing initiatives;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macroeconomic events, including rising interest and inflation rates and monetary policy changes;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credit performance of Upstart-powered loans;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recent bank failures, including disruption in the banking industry, and any associated effects on our business and industry;</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COVID-19 pandemic and any associated economic downturn on our business and results of operations;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management of future growth, including expanding the number of potential borrowers;</w:t>
      </w:r>
    </w:p>
    <w:p>
      <w:pPr>
        <w:spacing w:after="0" w:line="152"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reductions in workforce announced in November 2022 and January 2023, including our ability to successfully implement such reductions in workforce or achieve the anticipated cost reductions;</w:t>
      </w:r>
    </w:p>
    <w:p>
      <w:pPr>
        <w:spacing w:after="0" w:line="86"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compliance with applicable local, state and federal laws;</w:t>
      </w:r>
    </w:p>
    <w:p>
      <w:pPr>
        <w:spacing w:after="0" w:line="139"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and successfully adapt to complex and evolving regulatory environments, including regulation of artificial intelligence and machine learning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regulatory support of our approach to AI-based lending;</w:t>
      </w:r>
    </w:p>
    <w:p>
      <w:pPr>
        <w:spacing w:after="0" w:line="139"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the success of our strategic investments and acquisitions, including the integration of acquired operations, products, technology, internal controls and personnel;</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new and evolving markets and our ability to enter into new markets and introduce new products and services;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concerning relationships with third parties;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protect against increasingly sophisticated fraudulent borrowing and online theft;</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service our loans and pursue collection of delinquent and defaulted loans;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compete with companies that are currently in, or may in the future enter, the markets in which we operate;</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effectively secure and maintain the confidentiality of the information received, accessed, stored, provided and used across our systems;</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obtain and maintain corporate funding and liquidity to support continued growth and for general corporate purposes;</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integrate and retain qualified employees;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an effective system of disclosure controls and internal control over financial reporting and operations;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effectively manage and expand the capabilities of our operations teams, outsourcing relationships and other business operations;</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outstanding litigation and regulatory investigations; and</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manage the increased expenses associated with being a public company.</w:t>
      </w:r>
    </w:p>
    <w:p>
      <w:pPr>
        <w:spacing w:after="0" w:line="242"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We caution you that the foregoing list may not contain all of the forward-looking statements made in this report.</w:t>
      </w:r>
    </w:p>
    <w:p>
      <w:pPr>
        <w:spacing w:after="0" w:line="24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19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Each of the terms the “Company,” “we,” “our,” “us” and similar terms used herein refer collectively to Upstart Holdings, Inc., a Delaware corporation, and its consolidated subsidiaries,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181610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1.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1"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Cash</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422,411</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386,942</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64,917</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Loans (at fair value)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1,010,421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982,229</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equipment, and software,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46,977</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Operating lease right of use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86,335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83,382</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Non-marketable equity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41,250</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67,062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67,062</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14,562</w:t>
            </w:r>
          </w:p>
        </w:tc>
        <w:tc>
          <w:tcPr>
            <w:tcW w:w="0" w:type="dxa"/>
            <w:vAlign w:val="bottom"/>
          </w:tcPr>
          <w:p>
            <w:pPr>
              <w:spacing w:after="0"/>
              <w:rPr>
                <w:sz w:val="1"/>
                <w:szCs w:val="1"/>
                <w:color w:val="auto"/>
              </w:rPr>
            </w:pPr>
          </w:p>
        </w:tc>
      </w:tr>
      <w:tr>
        <w:trPr>
          <w:trHeight w:val="168"/>
        </w:trPr>
        <w:tc>
          <w:tcPr>
            <w:tcW w:w="7880" w:type="dxa"/>
            <w:vAlign w:val="bottom"/>
          </w:tcPr>
          <w:p>
            <w:pPr>
              <w:ind w:left="20"/>
              <w:spacing w:after="0" w:line="168" w:lineRule="exact"/>
              <w:rPr>
                <w:sz w:val="20"/>
                <w:szCs w:val="20"/>
                <w:color w:val="auto"/>
              </w:rPr>
            </w:pPr>
            <w:r>
              <w:rPr>
                <w:rFonts w:ascii="Arial" w:cs="Arial" w:eastAsia="Arial" w:hAnsi="Arial"/>
                <w:sz w:val="17"/>
                <w:szCs w:val="17"/>
                <w:color w:val="auto"/>
              </w:rPr>
              <w:t>Other assets (includes $42,648 and $44,096 at fair value as of December 31, 2022 and March 31, 2023,</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respectively)</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138,720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134,399</w:t>
            </w:r>
          </w:p>
        </w:tc>
        <w:tc>
          <w:tcPr>
            <w:tcW w:w="0" w:type="dxa"/>
            <w:vAlign w:val="bottom"/>
          </w:tcPr>
          <w:p>
            <w:pPr>
              <w:spacing w:after="0"/>
              <w:rPr>
                <w:sz w:val="1"/>
                <w:szCs w:val="1"/>
                <w:color w:val="auto"/>
              </w:rPr>
            </w:pPr>
          </w:p>
        </w:tc>
      </w:tr>
      <w:tr>
        <w:trPr>
          <w:trHeight w:val="238"/>
        </w:trPr>
        <w:tc>
          <w:tcPr>
            <w:tcW w:w="7880" w:type="dxa"/>
            <w:vAlign w:val="bottom"/>
            <w:tcBorders>
              <w:bottom w:val="single" w:sz="8" w:color="CCEEFF"/>
            </w:tcBorders>
            <w:shd w:val="clear" w:color="auto" w:fill="CCEEFF"/>
          </w:tcPr>
          <w:p>
            <w:pPr>
              <w:ind w:left="440"/>
              <w:spacing w:after="0" w:line="212" w:lineRule="exact"/>
              <w:rPr>
                <w:sz w:val="20"/>
                <w:szCs w:val="20"/>
                <w:color w:val="auto"/>
              </w:rPr>
            </w:pPr>
            <w:r>
              <w:rPr>
                <w:rFonts w:ascii="Arial" w:cs="Arial" w:eastAsia="Arial" w:hAnsi="Arial"/>
                <w:sz w:val="17"/>
                <w:szCs w:val="17"/>
                <w:color w:val="auto"/>
              </w:rPr>
              <w:t>Total assets</w:t>
            </w:r>
            <w:r>
              <w:rPr>
                <w:rFonts w:ascii="Arial" w:cs="Arial" w:eastAsia="Arial" w:hAnsi="Arial"/>
                <w:sz w:val="22"/>
                <w:szCs w:val="22"/>
                <w:color w:val="auto"/>
                <w:vertAlign w:val="superscript"/>
              </w:rPr>
              <w:t>(a)</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1,936,054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1,821,720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18,715</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6,553</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Payable to investors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41,047</w:t>
            </w:r>
          </w:p>
        </w:tc>
        <w:tc>
          <w:tcPr>
            <w:tcW w:w="0" w:type="dxa"/>
            <w:vAlign w:val="bottom"/>
          </w:tcPr>
          <w:p>
            <w:pPr>
              <w:spacing w:after="0"/>
              <w:rPr>
                <w:sz w:val="1"/>
                <w:szCs w:val="1"/>
                <w:color w:val="auto"/>
              </w:rPr>
            </w:pP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Borrowings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986,394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1,000,871</w:t>
            </w:r>
          </w:p>
        </w:tc>
        <w:tc>
          <w:tcPr>
            <w:tcW w:w="0" w:type="dxa"/>
            <w:vAlign w:val="bottom"/>
          </w:tcPr>
          <w:p>
            <w:pPr>
              <w:spacing w:after="0"/>
              <w:rPr>
                <w:sz w:val="1"/>
                <w:szCs w:val="1"/>
                <w:color w:val="auto"/>
              </w:rPr>
            </w:pPr>
          </w:p>
        </w:tc>
      </w:tr>
      <w:tr>
        <w:trPr>
          <w:trHeight w:val="169"/>
        </w:trPr>
        <w:tc>
          <w:tcPr>
            <w:tcW w:w="78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4"/>
              </w:rPr>
              <w:t>Accrued expenses and other liabilities (includes $8,820 and $7,591 at fair value as of December 31, 2022 and</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March 31, 2023, respectively)</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46,991</w:t>
            </w: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Operating lease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100,787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99,050</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440"/>
              <w:spacing w:after="0" w:line="212" w:lineRule="exact"/>
              <w:rPr>
                <w:sz w:val="20"/>
                <w:szCs w:val="20"/>
                <w:color w:val="auto"/>
              </w:rPr>
            </w:pPr>
            <w:r>
              <w:rPr>
                <w:rFonts w:ascii="Arial" w:cs="Arial" w:eastAsia="Arial" w:hAnsi="Arial"/>
                <w:sz w:val="17"/>
                <w:szCs w:val="17"/>
                <w:color w:val="auto"/>
              </w:rPr>
              <w:t>Total liabilities</w:t>
            </w:r>
            <w:r>
              <w:rPr>
                <w:rFonts w:ascii="Arial" w:cs="Arial" w:eastAsia="Arial" w:hAnsi="Arial"/>
                <w:sz w:val="22"/>
                <w:szCs w:val="22"/>
                <w:color w:val="auto"/>
                <w:vertAlign w:val="superscript"/>
              </w:rPr>
              <w:t>(a)</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1,263,619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1,194,512</w:t>
            </w:r>
          </w:p>
        </w:tc>
        <w:tc>
          <w:tcPr>
            <w:tcW w:w="0" w:type="dxa"/>
            <w:vAlign w:val="bottom"/>
          </w:tcPr>
          <w:p>
            <w:pPr>
              <w:spacing w:after="0"/>
              <w:rPr>
                <w:sz w:val="1"/>
                <w:szCs w:val="1"/>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Common stock, $0.0001 par value; 700,000,000 shares authorized; 81,259,676 and 82,600,748 shares issued and</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2022 and March 31, 2023, respectively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714,871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798,898</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(42,444)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(171,698)</w:t>
            </w:r>
          </w:p>
        </w:tc>
        <w:tc>
          <w:tcPr>
            <w:tcW w:w="0" w:type="dxa"/>
            <w:vAlign w:val="bottom"/>
          </w:tcPr>
          <w:p>
            <w:pPr>
              <w:spacing w:after="0"/>
              <w:rPr>
                <w:sz w:val="1"/>
                <w:szCs w:val="1"/>
                <w:color w:val="auto"/>
              </w:rPr>
            </w:pPr>
          </w:p>
        </w:tc>
      </w:tr>
      <w:tr>
        <w:trPr>
          <w:trHeight w:val="211"/>
        </w:trPr>
        <w:tc>
          <w:tcPr>
            <w:tcW w:w="78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672,435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627,208</w:t>
            </w:r>
          </w:p>
        </w:tc>
        <w:tc>
          <w:tcPr>
            <w:tcW w:w="0" w:type="dxa"/>
            <w:vAlign w:val="bottom"/>
          </w:tcPr>
          <w:p>
            <w:pPr>
              <w:spacing w:after="0"/>
              <w:rPr>
                <w:sz w:val="1"/>
                <w:szCs w:val="1"/>
                <w:color w:val="auto"/>
              </w:rPr>
            </w:pPr>
          </w:p>
        </w:tc>
      </w:tr>
      <w:tr>
        <w:trPr>
          <w:trHeight w:val="238"/>
        </w:trPr>
        <w:tc>
          <w:tcPr>
            <w:tcW w:w="7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1,936,054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1,821,720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w:t>
      </w:r>
    </w:p>
    <w:p>
      <w:pPr>
        <w:spacing w:after="0" w:line="211" w:lineRule="exact"/>
        <w:rPr>
          <w:sz w:val="20"/>
          <w:szCs w:val="20"/>
          <w:color w:val="auto"/>
        </w:rPr>
      </w:pPr>
    </w:p>
    <w:p>
      <w:pPr>
        <w:jc w:val="both"/>
        <w:ind w:left="320" w:hanging="317"/>
        <w:spacing w:after="0" w:line="216" w:lineRule="auto"/>
        <w:tabs>
          <w:tab w:leader="none" w:pos="315"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The following table presents information on assets and liabilities related to variable interest entities (“VIEs”) that are consolidated by Upstart Holdings, Inc. at December 31, 2022 and March 31, 2023.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ectPr>
          <w:pgSz w:w="11900" w:h="16838" w:orient="portrait"/>
          <w:cols w:equalWidth="0" w:num="1">
            <w:col w:w="11240"/>
          </w:cols>
          <w:pgMar w:left="320" w:top="179" w:right="339" w:bottom="1440" w:gutter="0" w:footer="0" w:header="0"/>
        </w:sectPr>
      </w:pPr>
    </w:p>
    <w:p>
      <w:pPr>
        <w:spacing w:after="0" w:line="91" w:lineRule="exact"/>
        <w:rPr>
          <w:sz w:val="20"/>
          <w:szCs w:val="20"/>
          <w:color w:val="auto"/>
        </w:rPr>
      </w:pPr>
    </w:p>
    <w:p>
      <w:pPr>
        <w:jc w:val="center"/>
        <w:ind w:left="4080"/>
        <w:spacing w:after="0"/>
        <w:rPr>
          <w:sz w:val="20"/>
          <w:szCs w:val="20"/>
          <w:color w:val="auto"/>
        </w:rPr>
      </w:pPr>
      <w:r>
        <w:rPr>
          <w:rFonts w:ascii="Arial" w:cs="Arial" w:eastAsia="Arial" w:hAnsi="Arial"/>
          <w:sz w:val="17"/>
          <w:szCs w:val="17"/>
          <w:color w:val="auto"/>
        </w:rPr>
        <w:t>(In thousands, except share data)</w:t>
      </w:r>
    </w:p>
    <w:p>
      <w:pPr>
        <w:spacing w:after="0" w:line="12" w:lineRule="exact"/>
        <w:rPr>
          <w:sz w:val="20"/>
          <w:szCs w:val="20"/>
          <w:color w:val="auto"/>
        </w:rPr>
      </w:pPr>
    </w:p>
    <w:p>
      <w:pPr>
        <w:jc w:val="center"/>
        <w:ind w:left="4080"/>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39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Restricted cash</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Loans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254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spacing w:after="0" w:line="4" w:lineRule="exact"/>
        <w:rPr>
          <w:sz w:val="20"/>
          <w:szCs w:val="20"/>
          <w:color w:val="auto"/>
        </w:rPr>
      </w:pPr>
    </w:p>
    <w:p>
      <w:pPr>
        <w:ind w:left="20" w:right="220"/>
        <w:spacing w:after="0" w:line="236" w:lineRule="auto"/>
        <w:rPr>
          <w:sz w:val="20"/>
          <w:szCs w:val="20"/>
          <w:color w:val="auto"/>
        </w:rPr>
      </w:pPr>
      <w:r>
        <w:rPr>
          <w:rFonts w:ascii="Arial" w:cs="Arial" w:eastAsia="Arial" w:hAnsi="Arial"/>
          <w:sz w:val="17"/>
          <w:szCs w:val="17"/>
          <w:color w:val="auto"/>
        </w:rPr>
        <w:t>Other assets (includes $2,244 and $1,456 at fair value as of December 31, 2022 and March 31, 2023, respectively)</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418"/>
        </w:trPr>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838</w:t>
            </w:r>
          </w:p>
        </w:tc>
        <w:tc>
          <w:tcPr>
            <w:tcW w:w="80" w:type="dxa"/>
            <w:vAlign w:val="bottom"/>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13,802</w:t>
            </w:r>
          </w:p>
        </w:tc>
      </w:tr>
      <w:tr>
        <w:trPr>
          <w:trHeight w:val="219"/>
        </w:trPr>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13,147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18,401</w:t>
            </w:r>
          </w:p>
        </w:tc>
      </w:tr>
      <w:tr>
        <w:trPr>
          <w:trHeight w:val="219"/>
        </w:trPr>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958,822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952,445</w:t>
            </w:r>
          </w:p>
        </w:tc>
      </w:tr>
      <w:tr>
        <w:trPr>
          <w:trHeight w:val="400"/>
        </w:trPr>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11,674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11,209</w:t>
            </w:r>
          </w:p>
        </w:tc>
      </w:tr>
      <w:tr>
        <w:trPr>
          <w:trHeight w:val="212"/>
        </w:trPr>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984,481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995,857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160" w:space="720"/>
            <w:col w:w="336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7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Borrowings</w:t>
            </w: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336,452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350,164</w:t>
            </w: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expenses and other liabilities</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1,314</w:t>
            </w:r>
          </w:p>
        </w:tc>
      </w:tr>
      <w:tr>
        <w:trPr>
          <w:trHeight w:val="212"/>
        </w:trPr>
        <w:tc>
          <w:tcPr>
            <w:tcW w:w="7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337,830</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351,478</w:t>
            </w:r>
          </w:p>
        </w:tc>
      </w:tr>
      <w:tr>
        <w:trPr>
          <w:trHeight w:val="213"/>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Total net assets</w:t>
            </w: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646,651</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644,379</w:t>
            </w:r>
          </w:p>
        </w:tc>
      </w:tr>
      <w:tr>
        <w:trPr>
          <w:trHeight w:val="20"/>
        </w:trPr>
        <w:tc>
          <w:tcPr>
            <w:tcW w:w="7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w:t>
      </w:r>
    </w:p>
    <w:p>
      <w:pPr>
        <w:spacing w:after="0" w:line="55"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(In thousands, except share and per share data)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7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2023</w:t>
            </w: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8"/>
        </w:trPr>
        <w:tc>
          <w:tcPr>
            <w:tcW w:w="7720" w:type="dxa"/>
            <w:vAlign w:val="bottom"/>
          </w:tcPr>
          <w:p>
            <w:pPr>
              <w:ind w:left="320"/>
              <w:spacing w:after="0"/>
              <w:rPr>
                <w:sz w:val="20"/>
                <w:szCs w:val="20"/>
                <w:color w:val="auto"/>
              </w:rPr>
            </w:pPr>
            <w:r>
              <w:rPr>
                <w:rFonts w:ascii="Arial" w:cs="Arial" w:eastAsia="Arial" w:hAnsi="Arial"/>
                <w:sz w:val="17"/>
                <w:szCs w:val="17"/>
                <w:color w:val="auto"/>
              </w:rPr>
              <w:t>Revenue from fees, net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313,982</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117,141</w:t>
            </w:r>
          </w:p>
        </w:tc>
      </w:tr>
      <w:tr>
        <w:trPr>
          <w:trHeight w:val="220"/>
        </w:trPr>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 and fair value adjustments, net: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7720" w:type="dxa"/>
            <w:vAlign w:val="bottom"/>
          </w:tcPr>
          <w:p>
            <w:pPr>
              <w:ind w:left="540"/>
              <w:spacing w:after="0"/>
              <w:rPr>
                <w:sz w:val="20"/>
                <w:szCs w:val="20"/>
                <w:color w:val="auto"/>
              </w:rPr>
            </w:pPr>
            <w:r>
              <w:rPr>
                <w:rFonts w:ascii="Arial" w:cs="Arial" w:eastAsia="Arial" w:hAnsi="Arial"/>
                <w:sz w:val="17"/>
                <w:szCs w:val="17"/>
                <w:color w:val="auto"/>
              </w:rPr>
              <w:t>Interest income</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15,134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45,315</w:t>
            </w:r>
          </w:p>
        </w:tc>
      </w:tr>
      <w:tr>
        <w:trPr>
          <w:trHeight w:val="220"/>
        </w:trPr>
        <w:tc>
          <w:tcPr>
            <w:tcW w:w="77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w:t>
            </w:r>
          </w:p>
        </w:tc>
      </w:tr>
      <w:tr>
        <w:trPr>
          <w:trHeight w:val="218"/>
        </w:trPr>
        <w:tc>
          <w:tcPr>
            <w:tcW w:w="772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Fair value and other adjustments</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(52,397)</w:t>
            </w:r>
          </w:p>
        </w:tc>
      </w:tr>
      <w:tr>
        <w:trPr>
          <w:trHeight w:val="213"/>
        </w:trPr>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interest income and fair value adjustments, net</w:t>
            </w: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(14,214)</w:t>
            </w:r>
          </w:p>
        </w:tc>
      </w:tr>
      <w:tr>
        <w:trPr>
          <w:trHeight w:val="211"/>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310,136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102,927</w:t>
            </w:r>
          </w:p>
        </w:tc>
      </w:tr>
      <w:tr>
        <w:trPr>
          <w:trHeight w:val="20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8"/>
        </w:trPr>
        <w:tc>
          <w:tcPr>
            <w:tcW w:w="772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133,449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31,438</w:t>
            </w:r>
          </w:p>
        </w:tc>
      </w:tr>
      <w:tr>
        <w:trPr>
          <w:trHeight w:val="220"/>
        </w:trPr>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Customer operations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40,590</w:t>
            </w:r>
          </w:p>
        </w:tc>
      </w:tr>
      <w:tr>
        <w:trPr>
          <w:trHeight w:val="218"/>
        </w:trPr>
        <w:tc>
          <w:tcPr>
            <w:tcW w:w="7720" w:type="dxa"/>
            <w:vAlign w:val="bottom"/>
          </w:tcPr>
          <w:p>
            <w:pPr>
              <w:ind w:left="320"/>
              <w:spacing w:after="0"/>
              <w:rPr>
                <w:sz w:val="20"/>
                <w:szCs w:val="20"/>
                <w:color w:val="auto"/>
              </w:rPr>
            </w:pPr>
            <w:r>
              <w:rPr>
                <w:rFonts w:ascii="Arial" w:cs="Arial" w:eastAsia="Arial" w:hAnsi="Arial"/>
                <w:sz w:val="17"/>
                <w:szCs w:val="17"/>
                <w:color w:val="auto"/>
              </w:rPr>
              <w:t>Engineering and product development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49,991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110,071</w:t>
            </w:r>
          </w:p>
        </w:tc>
      </w:tr>
      <w:tr>
        <w:trPr>
          <w:trHeight w:val="220"/>
        </w:trPr>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administrative, and other</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52,663</w:t>
            </w:r>
          </w:p>
        </w:tc>
      </w:tr>
      <w:tr>
        <w:trPr>
          <w:trHeight w:val="211"/>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234,762</w:t>
            </w: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(131,835)</w:t>
            </w:r>
          </w:p>
        </w:tc>
      </w:tr>
      <w:tr>
        <w:trPr>
          <w:trHeight w:val="21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2,597</w:t>
            </w: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before income taxes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(129,238)</w:t>
            </w:r>
          </w:p>
        </w:tc>
      </w:tr>
      <w:tr>
        <w:trPr>
          <w:trHeight w:val="21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12"/>
        </w:trPr>
        <w:tc>
          <w:tcPr>
            <w:tcW w:w="772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shd w:val="clear" w:color="auto" w:fill="CCEEFF"/>
          </w:tcPr>
          <w:p>
            <w:pPr>
              <w:jc w:val="right"/>
              <w:ind w:right="154"/>
              <w:spacing w:after="0" w:line="187" w:lineRule="exact"/>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32,692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4"/>
              <w:spacing w:after="0" w:line="187"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(129,254)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basic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18"/>
        </w:trPr>
        <w:tc>
          <w:tcPr>
            <w:tcW w:w="7720" w:type="dxa"/>
            <w:vAlign w:val="bottom"/>
          </w:tcPr>
          <w:p>
            <w:pPr>
              <w:ind w:left="20"/>
              <w:spacing w:after="0"/>
              <w:rPr>
                <w:sz w:val="20"/>
                <w:szCs w:val="20"/>
                <w:color w:val="auto"/>
              </w:rPr>
            </w:pPr>
            <w:r>
              <w:rPr>
                <w:rFonts w:ascii="Arial" w:cs="Arial" w:eastAsia="Arial" w:hAnsi="Arial"/>
                <w:sz w:val="17"/>
                <w:szCs w:val="17"/>
                <w:color w:val="auto"/>
              </w:rPr>
              <w:t>Net income (loss) per share, diluted</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0.34</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Weighted-average number of shares outstanding used in computing net income (loss) per share, basic</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84,230,445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81,911,433</w:t>
            </w:r>
          </w:p>
        </w:tc>
      </w:tr>
      <w:tr>
        <w:trPr>
          <w:trHeight w:val="218"/>
        </w:trPr>
        <w:tc>
          <w:tcPr>
            <w:tcW w:w="7720" w:type="dxa"/>
            <w:vAlign w:val="bottom"/>
          </w:tcPr>
          <w:p>
            <w:pPr>
              <w:ind w:left="20"/>
              <w:spacing w:after="0"/>
              <w:rPr>
                <w:sz w:val="20"/>
                <w:szCs w:val="20"/>
                <w:color w:val="auto"/>
              </w:rPr>
            </w:pPr>
            <w:r>
              <w:rPr>
                <w:rFonts w:ascii="Arial" w:cs="Arial" w:eastAsia="Arial" w:hAnsi="Arial"/>
                <w:sz w:val="17"/>
                <w:szCs w:val="17"/>
                <w:color w:val="auto"/>
                <w:w w:val="98"/>
              </w:rPr>
              <w:t>Weighted-average number of shares outstanding used in computing net income (loss) per share, diluted</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95,457,776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81,911,433</w:t>
            </w: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60" w:type="dxa"/>
            <w:vAlign w:val="bottom"/>
            <w:gridSpan w:val="8"/>
          </w:tcPr>
          <w:p>
            <w:pPr>
              <w:ind w:left="460"/>
              <w:spacing w:after="0"/>
              <w:rPr>
                <w:sz w:val="20"/>
                <w:szCs w:val="20"/>
                <w:color w:val="auto"/>
              </w:rPr>
            </w:pPr>
            <w:r>
              <w:rPr>
                <w:rFonts w:ascii="Arial" w:cs="Arial" w:eastAsia="Arial" w:hAnsi="Arial"/>
                <w:sz w:val="17"/>
                <w:szCs w:val="17"/>
                <w:b w:val="1"/>
                <w:bCs w:val="1"/>
                <w:color w:val="auto"/>
              </w:rPr>
              <w:t>Three Months Ended March 31, 2022</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Additional Paid-in</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restart"/>
          </w:tcPr>
          <w:p>
            <w:pPr>
              <w:jc w:val="right"/>
              <w:ind w:right="105"/>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83,659,665</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740,849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66,221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807,078</w:t>
            </w:r>
          </w:p>
        </w:tc>
        <w:tc>
          <w:tcPr>
            <w:tcW w:w="0" w:type="dxa"/>
            <w:vAlign w:val="bottom"/>
          </w:tcPr>
          <w:p>
            <w:pPr>
              <w:spacing w:after="0"/>
              <w:rPr>
                <w:sz w:val="1"/>
                <w:szCs w:val="1"/>
                <w:color w:val="auto"/>
              </w:rPr>
            </w:pPr>
          </w:p>
        </w:tc>
      </w:tr>
      <w:tr>
        <w:trPr>
          <w:trHeight w:val="199"/>
        </w:trPr>
        <w:tc>
          <w:tcPr>
            <w:tcW w:w="3460" w:type="dxa"/>
            <w:vAlign w:val="bottom"/>
            <w:gridSpan w:val="2"/>
          </w:tcPr>
          <w:p>
            <w:pPr>
              <w:ind w:left="20"/>
              <w:spacing w:after="0"/>
              <w:rPr>
                <w:sz w:val="20"/>
                <w:szCs w:val="20"/>
                <w:color w:val="auto"/>
              </w:rPr>
            </w:pPr>
            <w:r>
              <w:rPr>
                <w:rFonts w:ascii="Arial" w:cs="Arial" w:eastAsia="Arial" w:hAnsi="Arial"/>
                <w:sz w:val="14"/>
                <w:szCs w:val="14"/>
                <w:color w:val="auto"/>
                <w:w w:val="95"/>
              </w:rPr>
              <w:t>Issuance of common stock upon exercise of stock options</w:t>
            </w:r>
          </w:p>
        </w:tc>
        <w:tc>
          <w:tcPr>
            <w:tcW w:w="1480" w:type="dxa"/>
            <w:vAlign w:val="bottom"/>
          </w:tcPr>
          <w:p>
            <w:pPr>
              <w:jc w:val="right"/>
              <w:spacing w:after="0"/>
              <w:rPr>
                <w:sz w:val="20"/>
                <w:szCs w:val="20"/>
                <w:color w:val="auto"/>
              </w:rPr>
            </w:pPr>
            <w:r>
              <w:rPr>
                <w:rFonts w:ascii="Arial" w:cs="Arial" w:eastAsia="Arial" w:hAnsi="Arial"/>
                <w:sz w:val="15"/>
                <w:szCs w:val="15"/>
                <w:color w:val="auto"/>
              </w:rPr>
              <w:t>888,961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5,625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5,626</w:t>
            </w:r>
          </w:p>
        </w:tc>
        <w:tc>
          <w:tcPr>
            <w:tcW w:w="0" w:type="dxa"/>
            <w:vAlign w:val="bottom"/>
          </w:tcPr>
          <w:p>
            <w:pPr>
              <w:spacing w:after="0"/>
              <w:rPr>
                <w:sz w:val="1"/>
                <w:szCs w:val="1"/>
                <w:color w:val="auto"/>
              </w:rPr>
            </w:pPr>
          </w:p>
        </w:tc>
      </w:tr>
      <w:tr>
        <w:trPr>
          <w:trHeight w:val="139"/>
        </w:trPr>
        <w:tc>
          <w:tcPr>
            <w:tcW w:w="34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common stock upon settlement of restricted</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80,226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26,677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26,677</w:t>
            </w:r>
          </w:p>
        </w:tc>
        <w:tc>
          <w:tcPr>
            <w:tcW w:w="0" w:type="dxa"/>
            <w:vAlign w:val="bottom"/>
          </w:tcPr>
          <w:p>
            <w:pPr>
              <w:spacing w:after="0"/>
              <w:rPr>
                <w:sz w:val="1"/>
                <w:szCs w:val="1"/>
                <w:color w:val="auto"/>
              </w:rPr>
            </w:pPr>
          </w:p>
        </w:tc>
      </w:tr>
      <w:tr>
        <w:trPr>
          <w:trHeight w:val="139"/>
        </w:trPr>
        <w:tc>
          <w:tcPr>
            <w:tcW w:w="34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Issuance of common stock under employee stock purchase</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47,894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4,431</w:t>
            </w:r>
          </w:p>
        </w:tc>
        <w:tc>
          <w:tcPr>
            <w:tcW w:w="0" w:type="dxa"/>
            <w:vAlign w:val="bottom"/>
          </w:tcPr>
          <w:p>
            <w:pPr>
              <w:spacing w:after="0"/>
              <w:rPr>
                <w:sz w:val="1"/>
                <w:szCs w:val="1"/>
                <w:color w:val="auto"/>
              </w:rPr>
            </w:pPr>
          </w:p>
        </w:tc>
      </w:tr>
      <w:tr>
        <w:trPr>
          <w:trHeight w:val="18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32,692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32,692</w:t>
            </w:r>
          </w:p>
        </w:tc>
        <w:tc>
          <w:tcPr>
            <w:tcW w:w="0" w:type="dxa"/>
            <w:vAlign w:val="bottom"/>
          </w:tcPr>
          <w:p>
            <w:pPr>
              <w:spacing w:after="0"/>
              <w:rPr>
                <w:sz w:val="1"/>
                <w:szCs w:val="1"/>
                <w:color w:val="auto"/>
              </w:rPr>
            </w:pPr>
          </w:p>
        </w:tc>
      </w:tr>
      <w:tr>
        <w:trPr>
          <w:trHeight w:val="200"/>
        </w:trPr>
        <w:tc>
          <w:tcPr>
            <w:tcW w:w="3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84,676,746</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777,582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98,913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876,504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00" w:type="dxa"/>
            <w:vAlign w:val="bottom"/>
            <w:gridSpan w:val="8"/>
          </w:tcPr>
          <w:p>
            <w:pPr>
              <w:jc w:val="center"/>
              <w:ind w:right="540"/>
              <w:spacing w:after="0"/>
              <w:rPr>
                <w:sz w:val="20"/>
                <w:szCs w:val="20"/>
                <w:color w:val="auto"/>
              </w:rPr>
            </w:pPr>
            <w:r>
              <w:rPr>
                <w:rFonts w:ascii="Arial" w:cs="Arial" w:eastAsia="Arial" w:hAnsi="Arial"/>
                <w:sz w:val="17"/>
                <w:szCs w:val="17"/>
                <w:b w:val="1"/>
                <w:bCs w:val="1"/>
                <w:color w:val="auto"/>
                <w:w w:val="93"/>
              </w:rPr>
              <w:t>Three Months Ended March 31, 2023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Additional Paid-in</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400" w:type="dxa"/>
            <w:vAlign w:val="bottom"/>
          </w:tcPr>
          <w:p>
            <w:pPr>
              <w:spacing w:after="0"/>
              <w:rPr>
                <w:sz w:val="15"/>
                <w:szCs w:val="15"/>
                <w:color w:val="auto"/>
              </w:rPr>
            </w:pP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49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81,259,676</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714,871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(42,444)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672,435</w:t>
            </w:r>
          </w:p>
        </w:tc>
        <w:tc>
          <w:tcPr>
            <w:tcW w:w="0" w:type="dxa"/>
            <w:vAlign w:val="bottom"/>
          </w:tcPr>
          <w:p>
            <w:pPr>
              <w:spacing w:after="0"/>
              <w:rPr>
                <w:sz w:val="1"/>
                <w:szCs w:val="1"/>
                <w:color w:val="auto"/>
              </w:rPr>
            </w:pPr>
          </w:p>
        </w:tc>
      </w:tr>
      <w:tr>
        <w:trPr>
          <w:trHeight w:val="177"/>
        </w:trPr>
        <w:tc>
          <w:tcPr>
            <w:tcW w:w="3400" w:type="dxa"/>
            <w:vAlign w:val="bottom"/>
          </w:tcPr>
          <w:p>
            <w:pPr>
              <w:ind w:left="20"/>
              <w:spacing w:after="0"/>
              <w:rPr>
                <w:sz w:val="20"/>
                <w:szCs w:val="20"/>
                <w:color w:val="auto"/>
              </w:rPr>
            </w:pPr>
            <w:r>
              <w:rPr>
                <w:rFonts w:ascii="Arial" w:cs="Arial" w:eastAsia="Arial" w:hAnsi="Arial"/>
                <w:sz w:val="14"/>
                <w:szCs w:val="14"/>
                <w:color w:val="auto"/>
                <w:w w:val="93"/>
              </w:rPr>
              <w:t>Issuance of common stock upon exercise of stock options</w:t>
            </w:r>
          </w:p>
        </w:tc>
        <w:tc>
          <w:tcPr>
            <w:tcW w:w="1480" w:type="dxa"/>
            <w:vAlign w:val="bottom"/>
          </w:tcPr>
          <w:p>
            <w:pPr>
              <w:jc w:val="right"/>
              <w:spacing w:after="0"/>
              <w:rPr>
                <w:sz w:val="20"/>
                <w:szCs w:val="20"/>
                <w:color w:val="auto"/>
              </w:rPr>
            </w:pPr>
            <w:r>
              <w:rPr>
                <w:rFonts w:ascii="Arial" w:cs="Arial" w:eastAsia="Arial" w:hAnsi="Arial"/>
                <w:sz w:val="14"/>
                <w:szCs w:val="14"/>
                <w:color w:val="auto"/>
              </w:rPr>
              <w:t>331,093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138"/>
        </w:trPr>
        <w:tc>
          <w:tcPr>
            <w:tcW w:w="34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Issuance of common stock upon settlement of restricted</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698,173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400" w:type="dxa"/>
            <w:vAlign w:val="bottom"/>
          </w:tcPr>
          <w:p>
            <w:pPr>
              <w:ind w:left="20"/>
              <w:spacing w:after="0" w:line="129" w:lineRule="exact"/>
              <w:rPr>
                <w:sz w:val="20"/>
                <w:szCs w:val="20"/>
                <w:color w:val="auto"/>
              </w:rPr>
            </w:pPr>
            <w:r>
              <w:rPr>
                <w:rFonts w:ascii="Arial" w:cs="Arial" w:eastAsia="Arial" w:hAnsi="Arial"/>
                <w:sz w:val="14"/>
                <w:szCs w:val="14"/>
                <w:color w:val="auto"/>
                <w:w w:val="90"/>
              </w:rPr>
              <w:t>Shares withheld related to net share settlement of restricted</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4"/>
        </w:trPr>
        <w:tc>
          <w:tcPr>
            <w:tcW w:w="3400" w:type="dxa"/>
            <w:vAlign w:val="bottom"/>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76,767</w:t>
            </w:r>
          </w:p>
        </w:tc>
        <w:tc>
          <w:tcPr>
            <w:tcW w:w="0" w:type="dxa"/>
            <w:vAlign w:val="bottom"/>
          </w:tcPr>
          <w:p>
            <w:pPr>
              <w:spacing w:after="0"/>
              <w:rPr>
                <w:sz w:val="1"/>
                <w:szCs w:val="1"/>
                <w:color w:val="auto"/>
              </w:rPr>
            </w:pPr>
          </w:p>
        </w:tc>
      </w:tr>
      <w:tr>
        <w:trPr>
          <w:trHeight w:val="129"/>
        </w:trPr>
        <w:tc>
          <w:tcPr>
            <w:tcW w:w="3400" w:type="dxa"/>
            <w:vAlign w:val="bottom"/>
          </w:tcPr>
          <w:p>
            <w:pPr>
              <w:ind w:left="20"/>
              <w:spacing w:after="0" w:line="129" w:lineRule="exact"/>
              <w:rPr>
                <w:sz w:val="20"/>
                <w:szCs w:val="20"/>
                <w:color w:val="auto"/>
              </w:rPr>
            </w:pPr>
            <w:r>
              <w:rPr>
                <w:rFonts w:ascii="Arial" w:cs="Arial" w:eastAsia="Arial" w:hAnsi="Arial"/>
                <w:sz w:val="14"/>
                <w:szCs w:val="14"/>
                <w:color w:val="auto"/>
                <w:w w:val="91"/>
              </w:rPr>
              <w:t>Issuance of common stock under employee stock purchase</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312,134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5,728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4"/>
                <w:szCs w:val="14"/>
                <w:color w:val="auto"/>
              </w:rPr>
              <w:t>5,728</w:t>
            </w:r>
          </w:p>
        </w:tc>
        <w:tc>
          <w:tcPr>
            <w:tcW w:w="0" w:type="dxa"/>
            <w:vAlign w:val="bottom"/>
          </w:tcPr>
          <w:p>
            <w:pPr>
              <w:spacing w:after="0"/>
              <w:rPr>
                <w:sz w:val="1"/>
                <w:szCs w:val="1"/>
                <w:color w:val="auto"/>
              </w:rPr>
            </w:pPr>
          </w:p>
        </w:tc>
      </w:tr>
      <w:tr>
        <w:trPr>
          <w:trHeight w:val="184"/>
        </w:trPr>
        <w:tc>
          <w:tcPr>
            <w:tcW w:w="3400" w:type="dxa"/>
            <w:vAlign w:val="bottom"/>
          </w:tcPr>
          <w:p>
            <w:pPr>
              <w:ind w:left="20"/>
              <w:spacing w:after="0"/>
              <w:rPr>
                <w:sz w:val="20"/>
                <w:szCs w:val="20"/>
                <w:color w:val="auto"/>
              </w:rPr>
            </w:pPr>
            <w:r>
              <w:rPr>
                <w:rFonts w:ascii="Arial" w:cs="Arial" w:eastAsia="Arial" w:hAnsi="Arial"/>
                <w:sz w:val="14"/>
                <w:szCs w:val="14"/>
                <w:color w:val="auto"/>
              </w:rPr>
              <w:t>plan</w:t>
            </w: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(129,254)</w:t>
            </w:r>
          </w:p>
        </w:tc>
        <w:tc>
          <w:tcPr>
            <w:tcW w:w="0" w:type="dxa"/>
            <w:vAlign w:val="bottom"/>
          </w:tcPr>
          <w:p>
            <w:pPr>
              <w:spacing w:after="0"/>
              <w:rPr>
                <w:sz w:val="1"/>
                <w:szCs w:val="1"/>
                <w:color w:val="auto"/>
              </w:rPr>
            </w:pPr>
          </w:p>
        </w:tc>
      </w:tr>
      <w:tr>
        <w:trPr>
          <w:trHeight w:val="193"/>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82,600,748</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798,898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(171,698)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627,208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6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7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2023</w:t>
            </w:r>
          </w:p>
        </w:tc>
      </w:tr>
      <w:tr>
        <w:trPr>
          <w:trHeight w:val="199"/>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32,692</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(129,254)</w:t>
            </w:r>
          </w:p>
        </w:tc>
      </w:tr>
      <w:tr>
        <w:trPr>
          <w:trHeight w:val="239"/>
        </w:trPr>
        <w:tc>
          <w:tcPr>
            <w:tcW w:w="7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Adjustments to reconcile net income (loss) to net cash used in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Change in fair value of financial instruments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18,356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59,046</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74,109</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Gain on loan servicing arrangement, net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(8,705)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(3,613)</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6,441</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Non-cash interest expense</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766</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Net changes in operating assets and liabilities: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 of loans held-for-sale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(3,457,784)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(510,003)</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Proceeds from sale of loans held-for-sale</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3,065,358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449,339</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Principal payments received for loans held-for-sale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57,949</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Other assets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7,287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liability and right-of-use asset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3,371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(12,170)</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Payable to investors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(49,730)</w:t>
            </w:r>
          </w:p>
        </w:tc>
      </w:tr>
      <w:tr>
        <w:trPr>
          <w:trHeight w:val="218"/>
        </w:trPr>
        <w:tc>
          <w:tcPr>
            <w:tcW w:w="77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Accrued expenses and other liabilities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(19,155)</w:t>
            </w:r>
          </w:p>
        </w:tc>
      </w:tr>
      <w:tr>
        <w:trPr>
          <w:trHeight w:val="212"/>
        </w:trPr>
        <w:tc>
          <w:tcPr>
            <w:tcW w:w="7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(266,795)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(75,727)</w:t>
            </w:r>
          </w:p>
        </w:tc>
      </w:tr>
      <w:tr>
        <w:trPr>
          <w:trHeight w:val="239"/>
        </w:trPr>
        <w:tc>
          <w:tcPr>
            <w:tcW w:w="7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Purchase of loans held-for-investment</w:t>
            </w:r>
          </w:p>
        </w:tc>
        <w:tc>
          <w:tcPr>
            <w:tcW w:w="3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(46,382)</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payments received for loans held-for-investment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24,422</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Principal payments received for notes receivable and repayments of residual certificates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1,566</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non-marketable equity securities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Purchase of property and equipment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(1,111)</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Capitalized software costs</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(4,347)</w:t>
            </w:r>
          </w:p>
        </w:tc>
      </w:tr>
      <w:tr>
        <w:trPr>
          <w:trHeight w:val="211"/>
        </w:trPr>
        <w:tc>
          <w:tcPr>
            <w:tcW w:w="770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(25,852)</w:t>
            </w:r>
          </w:p>
        </w:tc>
      </w:tr>
      <w:tr>
        <w:trPr>
          <w:trHeight w:val="239"/>
        </w:trPr>
        <w:tc>
          <w:tcPr>
            <w:tcW w:w="7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borrowings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60,673</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Repayments of borrowings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(6,990)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(46,962)</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 under employee stock purchase plan</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5,728</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Proceeds from exercise of stock options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5,626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1,537</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1"/>
        </w:trPr>
        <w:tc>
          <w:tcPr>
            <w:tcW w:w="770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83,071</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20,971</w:t>
            </w: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Change in cash and restricted cash</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(80,608)</w:t>
            </w:r>
          </w:p>
        </w:tc>
      </w:tr>
      <w:tr>
        <w:trPr>
          <w:trHeight w:val="21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Cash and restricted cash</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restricted cash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1,191,241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532,467</w:t>
            </w:r>
          </w:p>
        </w:tc>
      </w:tr>
      <w:tr>
        <w:trPr>
          <w:trHeight w:val="213"/>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Cash and restricted cash at end of period</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1,012,694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451,859</w:t>
            </w: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Condensed Consolidated Statements of Cash Flows (Continued)</w:t>
      </w:r>
    </w:p>
    <w:p>
      <w:pPr>
        <w:spacing w:after="0" w:line="6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(In thousands)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700" w:type="dxa"/>
            <w:vAlign w:val="bottom"/>
          </w:tcPr>
          <w:p>
            <w:pPr>
              <w:spacing w:after="0"/>
              <w:rPr>
                <w:sz w:val="19"/>
                <w:szCs w:val="19"/>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r>
      <w:tr>
        <w:trPr>
          <w:trHeight w:val="213"/>
        </w:trPr>
        <w:tc>
          <w:tcPr>
            <w:tcW w:w="77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24"/>
        </w:trPr>
        <w:tc>
          <w:tcPr>
            <w:tcW w:w="7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interest</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7,959</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Cash (received) paid for income taxes, net</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(1,153)</w:t>
            </w:r>
          </w:p>
        </w:tc>
      </w:tr>
      <w:tr>
        <w:trPr>
          <w:trHeight w:val="259"/>
        </w:trPr>
        <w:tc>
          <w:tcPr>
            <w:tcW w:w="7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1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stock-based compensation expense</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2,658</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Reclassification of loans</w:t>
            </w:r>
          </w:p>
        </w:tc>
        <w:tc>
          <w:tcPr>
            <w:tcW w:w="1060" w:type="dxa"/>
            <w:vAlign w:val="bottom"/>
          </w:tcPr>
          <w:p>
            <w:pPr>
              <w:jc w:val="right"/>
              <w:ind w:right="87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109,792</w:t>
            </w:r>
          </w:p>
        </w:tc>
        <w:tc>
          <w:tcPr>
            <w:tcW w:w="100" w:type="dxa"/>
            <w:vAlign w:val="bottom"/>
          </w:tcPr>
          <w:p>
            <w:pPr>
              <w:spacing w:after="0"/>
              <w:rPr>
                <w:sz w:val="18"/>
                <w:szCs w:val="18"/>
                <w:color w:val="auto"/>
              </w:rPr>
            </w:pP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cash and restricted cash by category within the unaudited condensed consolidated balance sheets: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7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b w:val="1"/>
                <w:bCs w:val="1"/>
                <w:color w:val="auto"/>
              </w:rPr>
              <w:t>December 31,</w:t>
            </w:r>
          </w:p>
        </w:tc>
        <w:tc>
          <w:tcPr>
            <w:tcW w:w="300" w:type="dxa"/>
            <w:vAlign w:val="bottom"/>
          </w:tcPr>
          <w:p>
            <w:pPr>
              <w:spacing w:after="0"/>
              <w:rPr>
                <w:sz w:val="19"/>
                <w:szCs w:val="19"/>
                <w:color w:val="auto"/>
              </w:rPr>
            </w:pPr>
          </w:p>
        </w:tc>
        <w:tc>
          <w:tcPr>
            <w:tcW w:w="1440" w:type="dxa"/>
            <w:vAlign w:val="bottom"/>
          </w:tcPr>
          <w:p>
            <w:pPr>
              <w:jc w:val="right"/>
              <w:ind w:right="41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7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2023</w:t>
            </w: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422,411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386,942</w:t>
            </w:r>
          </w:p>
        </w:tc>
      </w:tr>
      <w:tr>
        <w:trPr>
          <w:trHeight w:val="218"/>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110,056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64,917</w:t>
            </w:r>
          </w:p>
        </w:tc>
      </w:tr>
      <w:tr>
        <w:trPr>
          <w:trHeight w:val="23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and restricted cash</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532,467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451,859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Description of Business and Significant Accounting Policies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Upstart Holdings, Inc. and its subsidiaries (together “Upstart”, the “Company”, “we”, or “our”) apply modern data science and technology to the process of originating consumer credit. The Company helps originate credit, including personal and auto loans,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accompanying unaudited condensed consolidated financial statements have been prepared on the same basis as the annual consolidated financial statements included in our Annual Report on Form 10-K. Certain prior period amounts have been reclassified or disaggregated where appropriate to conform to the current period presentation of such amounts. In the opinion of management, the accompanying financial statements reflect all adjustments, which include only normal recurring adjustments, necessary to state fairly the Company’s financial position, results of operations, comprehensive income (loss) and cash flows for the periods presented, but are not necessarily indicative of the results of operations to be anticipated of any future annual or interim periods.</w:t>
      </w:r>
    </w:p>
    <w:p>
      <w:pPr>
        <w:spacing w:after="0" w:line="19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Certain information and disclosures normally included in the financial statements prepared in accordance with GAAP have been condensed or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2022.</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and acquired intangible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evaluates its contracts and financial instruments to determine if these contracts and instruments or their parts meet the definition of derivatives in accordance with the requirements of FASB Accounting Codification (ASC) 815, Derivatives and Hedging. Derivatives are recorded on the condensed consolidated balance sheets at fair value with changes in the value recorded in earnings as part of interest expense or fair value adjustments in the condensed consolidated statements of operations and comprehensive income (loss). The Company does not employ derivatives for trading or speculative purposes and has no derivatives classified as accounting hedges. Refer to “</w:t>
      </w:r>
      <w:r>
        <w:rPr>
          <w:rFonts w:ascii="Arial" w:cs="Arial" w:eastAsia="Arial" w:hAnsi="Arial"/>
          <w:sz w:val="16"/>
          <w:szCs w:val="16"/>
          <w:i w:val="1"/>
          <w:iCs w:val="1"/>
          <w:color w:val="auto"/>
        </w:rPr>
        <w:t>Note 4. Derivative Financial Instruments</w:t>
      </w:r>
      <w:r>
        <w:rPr>
          <w:rFonts w:ascii="Arial" w:cs="Arial" w:eastAsia="Arial" w:hAnsi="Arial"/>
          <w:sz w:val="16"/>
          <w:szCs w:val="16"/>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1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On January 1, 2023, the Company adopted Accounting Standards Update (“ASU”) 2021-08, </w:t>
      </w:r>
      <w:r>
        <w:rPr>
          <w:rFonts w:ascii="Arial" w:cs="Arial" w:eastAsia="Arial" w:hAnsi="Arial"/>
          <w:sz w:val="17"/>
          <w:szCs w:val="17"/>
          <w:i w:val="1"/>
          <w:iCs w:val="1"/>
          <w:color w:val="auto"/>
        </w:rPr>
        <w:t>Business Combinations (Topic 805): Accounting for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and Contract Liabilities from Contracts with Customers, </w:t>
      </w:r>
      <w:r>
        <w:rPr>
          <w:rFonts w:ascii="Arial" w:cs="Arial" w:eastAsia="Arial" w:hAnsi="Arial"/>
          <w:sz w:val="17"/>
          <w:szCs w:val="17"/>
          <w:color w:val="auto"/>
        </w:rPr>
        <w:t>which was issued by the Financial Accounting Standards Board (“FASB”) in October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guidance requires contract assets and contract liabilities acquired in a business combination to be recognized and measured by the acquirer on the acquisition date in accordance with ASC 606, Revenue from Contracts with Customers, as if it had originated the contracts. Under the previous business combinations guidance, such assets and liabilities are recognized by the acquirer at fair value on the acquisition date. The ASU will be applied prospectively to business combinations occurring after the adoption date. The adoption of this new standard did not have an impact on the Company's condensed consolidated financial statements or related disclosures.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followed by ASU 2021-01,</w:t>
      </w:r>
      <w:r>
        <w:rPr>
          <w:rFonts w:ascii="Arial" w:cs="Arial" w:eastAsia="Arial" w:hAnsi="Arial"/>
          <w:sz w:val="17"/>
          <w:szCs w:val="17"/>
          <w:i w:val="1"/>
          <w:iCs w:val="1"/>
          <w:color w:val="auto"/>
        </w:rPr>
        <w:t xml:space="preserve"> Reference Rate Reform, Scop</w:t>
      </w:r>
      <w:r>
        <w:rPr>
          <w:rFonts w:ascii="Arial" w:cs="Arial" w:eastAsia="Arial" w:hAnsi="Arial"/>
          <w:sz w:val="17"/>
          <w:szCs w:val="17"/>
          <w:color w:val="auto"/>
        </w:rPr>
        <w:t>e issued in January 2021. ASU 2020-04 and ASU 2021-01 provide temporary optional</w:t>
      </w:r>
      <w:r>
        <w:rPr>
          <w:rFonts w:ascii="Arial" w:cs="Arial" w:eastAsia="Arial" w:hAnsi="Arial"/>
          <w:sz w:val="17"/>
          <w:szCs w:val="17"/>
          <w:i w:val="1"/>
          <w:iCs w:val="1"/>
          <w:color w:val="auto"/>
        </w:rPr>
        <w:t xml:space="preserve"> </w:t>
      </w:r>
      <w:r>
        <w:rPr>
          <w:rFonts w:ascii="Arial" w:cs="Arial" w:eastAsia="Arial" w:hAnsi="Arial"/>
          <w:sz w:val="17"/>
          <w:szCs w:val="17"/>
          <w:color w:val="auto"/>
        </w:rPr>
        <w:t>expedients and exceptions for applying U.S. GAAP to contracts, hedging relationships, and other transactions that reference the London Interbank Offered Rate or another reference rate expected to be discontinued because of reference rate reform, if certain criteria are met. The optional guidance in ASU 2020-04 and ASU 2021-01 and ASU 2022-06 is effective for a limited period of time through December 31, 2024 and may be applied prospectively to contract modifications and hedging relationships. The Company does not expect the adoption of this guidance will have a material impact on the Company’s condensed consolidated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360"/>
        <w:spacing w:after="0"/>
        <w:tabs>
          <w:tab w:leader="none" w:pos="16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4"/>
          <w:szCs w:val="14"/>
          <w:b w:val="1"/>
          <w:bCs w:val="1"/>
          <w:color w:val="auto"/>
        </w:rPr>
        <w:t>Revenue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disaggregates revenue from fees by type of service for the periods presented as follows: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660" w:type="dxa"/>
            <w:vAlign w:val="bottom"/>
          </w:tcPr>
          <w:p>
            <w:pPr>
              <w:spacing w:after="0"/>
              <w:rPr>
                <w:sz w:val="19"/>
                <w:szCs w:val="19"/>
                <w:color w:val="auto"/>
              </w:rPr>
            </w:pPr>
          </w:p>
        </w:tc>
        <w:tc>
          <w:tcPr>
            <w:tcW w:w="356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76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2023</w:t>
            </w:r>
          </w:p>
        </w:tc>
      </w:tr>
      <w:tr>
        <w:trPr>
          <w:trHeight w:val="199"/>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8"/>
        </w:trPr>
        <w:tc>
          <w:tcPr>
            <w:tcW w:w="7660" w:type="dxa"/>
            <w:vAlign w:val="bottom"/>
          </w:tcPr>
          <w:p>
            <w:pPr>
              <w:ind w:left="320"/>
              <w:spacing w:after="0"/>
              <w:rPr>
                <w:sz w:val="20"/>
                <w:szCs w:val="20"/>
                <w:color w:val="auto"/>
              </w:rPr>
            </w:pPr>
            <w:r>
              <w:rPr>
                <w:rFonts w:ascii="Arial" w:cs="Arial" w:eastAsia="Arial" w:hAnsi="Arial"/>
                <w:sz w:val="17"/>
                <w:szCs w:val="17"/>
                <w:color w:val="auto"/>
              </w:rPr>
              <w:t>Platform and referral fees, net</w:t>
            </w: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271,812</w:t>
            </w: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77,657</w:t>
            </w:r>
          </w:p>
        </w:tc>
      </w:tr>
      <w:tr>
        <w:trPr>
          <w:trHeight w:val="219"/>
        </w:trPr>
        <w:tc>
          <w:tcPr>
            <w:tcW w:w="7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Servicing and other fees, net</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42,170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39,484</w:t>
            </w:r>
          </w:p>
        </w:tc>
      </w:tr>
      <w:tr>
        <w:trPr>
          <w:trHeight w:val="213"/>
        </w:trPr>
        <w:tc>
          <w:tcPr>
            <w:tcW w:w="7660" w:type="dxa"/>
            <w:vAlign w:val="bottom"/>
          </w:tcPr>
          <w:p>
            <w:pPr>
              <w:ind w:left="20"/>
              <w:spacing w:after="0"/>
              <w:rPr>
                <w:sz w:val="20"/>
                <w:szCs w:val="20"/>
                <w:color w:val="auto"/>
              </w:rPr>
            </w:pPr>
            <w:r>
              <w:rPr>
                <w:rFonts w:ascii="Arial" w:cs="Arial" w:eastAsia="Arial" w:hAnsi="Arial"/>
                <w:sz w:val="17"/>
                <w:szCs w:val="17"/>
                <w:color w:val="auto"/>
              </w:rPr>
              <w:t>Total revenue from fees, net</w:t>
            </w: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313,982</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117,141</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Platform and referral fees, net</w:t>
      </w:r>
    </w:p>
    <w:p>
      <w:pPr>
        <w:spacing w:after="0" w:line="243"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Company enters into contracts with lending partners to provide access to a cloud-based artificial intelligence lending marketplace developed by the Company (the “Upstart platform”) to enable lending partners to originate unsecured personal and secured auto loans. The Upstart platform includes a cloud-based application (through Upstart.com or a lending partner-branded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contracts, lending partners can choose to use Upstart’s referral services, which allow them to access new borrowers through Upstart’s marketing channels.</w:t>
      </w:r>
    </w:p>
    <w:p>
      <w:pPr>
        <w:spacing w:after="0" w:line="25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After origination, Upstart-powered loans are either retained by lending partners, purchased by the Company for immediate resale to institutional investors under loan sale agreements, or purchased and held by the Company. For loans purchased by the Company, Upstart pays lending partners a one-time loan premium fee upon completion of the minimum contractual holding period. Upstart also pays lending partners monthly loan trailing fees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condensed consolidated statements of operations and comprehensive income (loss). The Company recognized $8.7 million and $1.4 million of loan premium fees and loan trailing fees as contra-revenue within platform and referral fees, net during the three months ended March 31, 2022 and 2023 respectively.</w:t>
      </w:r>
    </w:p>
    <w:p>
      <w:pPr>
        <w:spacing w:after="0" w:line="19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December 31, 2022 and March 31, 2023, the Company recognized $4.9 million and $4.4 million of loan trailing fee liability, respectively, which is recorded at fair value and included within accrued expenses and other liabilities on the Company’s condensed consolidated balance sheets. Refer to “</w:t>
      </w:r>
      <w:r>
        <w:rPr>
          <w:rFonts w:ascii="Arial" w:cs="Arial" w:eastAsia="Arial" w:hAnsi="Arial"/>
          <w:sz w:val="17"/>
          <w:szCs w:val="17"/>
          <w:i w:val="1"/>
          <w:iCs w:val="1"/>
          <w:color w:val="auto"/>
        </w:rPr>
        <w:t>Note 5.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for additional information on changes in fair value associated with trailing fee liabilities.</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Company’s arrangements for platform and referral services typically consist of an obligation to provide one or both of these services to customers, which are our lending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either a daily or monthly basis. As such, the Company’s contracts with customers do not include a significant financing component.</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had no material contract assets, contract liabilities, or deferred contract costs recorded as of December 31, 2022 and March 31, 2023. The Company had $31.1 million and $29.2 million of accounts receivable that are included in other assets on the condensed consolidated balance sheets related to contracts with customers as of December 31, 2022 and March 31, 2023, respectively. The standard payment terms on accounts receivable are 30 days. The Company’s allowance for bad debt and bad debt expense were immaterial for the periods presented.</w:t>
      </w:r>
    </w:p>
    <w:p>
      <w:pPr>
        <w:spacing w:after="0" w:line="204"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2022 and March 31, 2023, the Company had a $2.6 million amount of contract costs capitalized within other assets on the condensed consolidated balance sheets. The Company amortized an immaterial amount of capitalized contracts costs to sales and marketing in the condensed consolidated statements of operations and comprehensive income (loss) for the periods presented.</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Customers accounting for greater than 10% of total revenue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(Unaudited)</w:t>
      </w:r>
    </w:p>
    <w:p>
      <w:pPr>
        <w:sectPr>
          <w:pgSz w:w="11900" w:h="16838" w:orient="portrait"/>
          <w:cols w:equalWidth="0" w:num="1">
            <w:col w:w="11280"/>
          </w:cols>
          <w:pgMar w:left="320" w:top="17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Customer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-156845</wp:posOffset>
            </wp:positionV>
            <wp:extent cx="6805930" cy="172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5930" cy="172085"/>
                    </a:xfrm>
                    <a:prstGeom prst="rect">
                      <a:avLst/>
                    </a:prstGeom>
                    <a:noFill/>
                  </pic:spPr>
                </pic:pic>
              </a:graphicData>
            </a:graphic>
          </wp:anchor>
        </w:drawing>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Customer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63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5930" cy="163830"/>
                    </a:xfrm>
                    <a:prstGeom prst="rect">
                      <a:avLst/>
                    </a:prstGeom>
                    <a:noFill/>
                  </pic:spPr>
                </pic:pic>
              </a:graphicData>
            </a:graphic>
          </wp:anchor>
        </w:drawing>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Customer C</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Less than 10%</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Customers accounting for greater than 10% of accounts receivable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7138670" cy="14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Customer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19"/>
        <w:spacing w:after="0"/>
        <w:rPr>
          <w:sz w:val="20"/>
          <w:szCs w:val="20"/>
          <w:color w:val="auto"/>
        </w:rPr>
      </w:pPr>
      <w:r>
        <w:rPr>
          <w:rFonts w:ascii="Arial" w:cs="Arial" w:eastAsia="Arial" w:hAnsi="Arial"/>
          <w:sz w:val="17"/>
          <w:szCs w:val="17"/>
          <w:b w:val="1"/>
          <w:bCs w:val="1"/>
          <w:color w:val="auto"/>
        </w:rPr>
        <w:t>March 31,</w:t>
      </w:r>
    </w:p>
    <w:p>
      <w:pPr>
        <w:spacing w:after="0" w:line="28" w:lineRule="exact"/>
        <w:rPr>
          <w:sz w:val="20"/>
          <w:szCs w:val="20"/>
          <w:color w:val="auto"/>
        </w:rPr>
      </w:pPr>
    </w:p>
    <w:p>
      <w:pPr>
        <w:ind w:left="580"/>
        <w:spacing w:after="0"/>
        <w:tabs>
          <w:tab w:leader="none" w:pos="236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2023</w:t>
      </w:r>
    </w:p>
    <w:p>
      <w:pPr>
        <w:spacing w:after="0" w:line="52" w:lineRule="exact"/>
        <w:rPr>
          <w:sz w:val="20"/>
          <w:szCs w:val="20"/>
          <w:color w:val="auto"/>
        </w:rPr>
      </w:pPr>
    </w:p>
    <w:p>
      <w:pPr>
        <w:jc w:val="both"/>
        <w:ind w:left="900"/>
        <w:spacing w:after="0"/>
        <w:tabs>
          <w:tab w:leader="none" w:pos="270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color w:val="auto"/>
        </w:rPr>
        <w:t>30</w:t>
      </w:r>
    </w:p>
    <w:p>
      <w:pPr>
        <w:spacing w:after="0" w:line="62" w:lineRule="exact"/>
        <w:rPr>
          <w:sz w:val="20"/>
          <w:szCs w:val="20"/>
          <w:color w:val="auto"/>
        </w:rPr>
      </w:pPr>
    </w:p>
    <w:p>
      <w:pPr>
        <w:jc w:val="both"/>
        <w:ind w:left="900"/>
        <w:spacing w:after="0"/>
        <w:tabs>
          <w:tab w:leader="none" w:pos="2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18</w:t>
      </w:r>
    </w:p>
    <w:p>
      <w:pPr>
        <w:spacing w:after="0" w:line="62" w:lineRule="exact"/>
        <w:rPr>
          <w:sz w:val="20"/>
          <w:szCs w:val="20"/>
          <w:color w:val="auto"/>
        </w:rPr>
      </w:pPr>
    </w:p>
    <w:p>
      <w:pPr>
        <w:jc w:val="both"/>
        <w:ind w:left="1020"/>
        <w:spacing w:after="0"/>
        <w:tabs>
          <w:tab w:leader="none" w:pos="27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20"/>
        <w:spacing w:after="0"/>
        <w:rPr>
          <w:sz w:val="20"/>
          <w:szCs w:val="20"/>
          <w:color w:val="auto"/>
        </w:rPr>
      </w:pPr>
      <w:r>
        <w:rPr>
          <w:rFonts w:ascii="Arial" w:cs="Arial" w:eastAsia="Arial" w:hAnsi="Arial"/>
          <w:sz w:val="17"/>
          <w:szCs w:val="17"/>
          <w:b w:val="1"/>
          <w:bCs w:val="1"/>
          <w:color w:val="auto"/>
        </w:rPr>
        <w:t>March 31,</w:t>
      </w:r>
    </w:p>
    <w:p>
      <w:pPr>
        <w:spacing w:after="0" w:line="28" w:lineRule="exact"/>
        <w:rPr>
          <w:sz w:val="20"/>
          <w:szCs w:val="20"/>
          <w:color w:val="auto"/>
        </w:rPr>
      </w:pPr>
    </w:p>
    <w:p>
      <w:pPr>
        <w:spacing w:after="0"/>
        <w:tabs>
          <w:tab w:leader="none" w:pos="178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2023</w:t>
      </w:r>
    </w:p>
    <w:p>
      <w:pPr>
        <w:spacing w:after="0" w:line="39"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color w:val="auto"/>
        </w:rPr>
        <w:t>35%</w:t>
      </w:r>
    </w:p>
    <w:p>
      <w:pPr>
        <w:spacing w:after="0" w:line="200" w:lineRule="exact"/>
        <w:rPr>
          <w:sz w:val="20"/>
          <w:szCs w:val="20"/>
          <w:color w:val="auto"/>
        </w:rPr>
      </w:pPr>
    </w:p>
    <w:p>
      <w:pPr>
        <w:sectPr>
          <w:pgSz w:w="11900" w:h="16838" w:orient="portrait"/>
          <w:cols w:equalWidth="0" w:num="2">
            <w:col w:w="7680" w:space="720"/>
            <w:col w:w="2880"/>
          </w:cols>
          <w:pgMar w:left="320" w:top="179" w:right="299" w:bottom="1440" w:gutter="0" w:footer="0" w:header="0"/>
          <w:type w:val="continuous"/>
        </w:sectPr>
      </w:pPr>
    </w:p>
    <w:p>
      <w:pPr>
        <w:spacing w:after="0" w:line="3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Servicing and other fees, net</w:t>
      </w:r>
    </w:p>
    <w:p>
      <w:pPr>
        <w:spacing w:after="0" w:line="243" w:lineRule="exact"/>
        <w:rPr>
          <w:sz w:val="20"/>
          <w:szCs w:val="20"/>
          <w:color w:val="auto"/>
        </w:rPr>
      </w:pPr>
    </w:p>
    <w:p>
      <w:pPr>
        <w:jc w:val="both"/>
        <w:ind w:right="40" w:firstLine="619"/>
        <w:spacing w:after="0" w:line="277" w:lineRule="auto"/>
        <w:rPr>
          <w:sz w:val="20"/>
          <w:szCs w:val="20"/>
          <w:color w:val="auto"/>
        </w:rPr>
      </w:pPr>
      <w:r>
        <w:rPr>
          <w:rFonts w:ascii="Arial" w:cs="Arial" w:eastAsia="Arial" w:hAnsi="Arial"/>
          <w:sz w:val="16"/>
          <w:szCs w:val="16"/>
          <w:color w:val="auto"/>
        </w:rPr>
        <w:t>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and are accounted for under ASC 860, Transfers and Servicing.</w:t>
      </w:r>
    </w:p>
    <w:p>
      <w:pPr>
        <w:spacing w:after="0" w:line="196" w:lineRule="exact"/>
        <w:rPr>
          <w:sz w:val="20"/>
          <w:szCs w:val="20"/>
          <w:color w:val="auto"/>
        </w:rPr>
      </w:pPr>
    </w:p>
    <w:p>
      <w:pPr>
        <w:jc w:val="both"/>
        <w:ind w:right="40" w:firstLine="619"/>
        <w:spacing w:after="0" w:line="259" w:lineRule="auto"/>
        <w:rPr>
          <w:sz w:val="20"/>
          <w:szCs w:val="20"/>
          <w:color w:val="auto"/>
        </w:rPr>
      </w:pPr>
      <w:r>
        <w:rPr>
          <w:rFonts w:ascii="Arial" w:cs="Arial" w:eastAsia="Arial" w:hAnsi="Arial"/>
          <w:sz w:val="17"/>
          <w:szCs w:val="17"/>
          <w:color w:val="auto"/>
        </w:rPr>
        <w:t>Servicing and other fees, net also include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in the periods presented. Refer to “</w:t>
      </w:r>
      <w:r>
        <w:rPr>
          <w:rFonts w:ascii="Arial" w:cs="Arial" w:eastAsia="Arial" w:hAnsi="Arial"/>
          <w:sz w:val="17"/>
          <w:szCs w:val="17"/>
          <w:i w:val="1"/>
          <w:iCs w:val="1"/>
          <w:color w:val="auto"/>
        </w:rPr>
        <w:t>Note 5. Fair Value Measurement</w:t>
      </w:r>
      <w:r>
        <w:rPr>
          <w:rFonts w:ascii="Arial" w:cs="Arial" w:eastAsia="Arial" w:hAnsi="Arial"/>
          <w:sz w:val="17"/>
          <w:szCs w:val="17"/>
          <w:color w:val="auto"/>
        </w:rPr>
        <w:t>” for additional information on changes in fair value associated with servicing assets and liabilities.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recognized a net gain related to loan servicing rights upon loan sales for the periods presented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0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r>
      <w:tr>
        <w:trPr>
          <w:trHeight w:val="213"/>
        </w:trPr>
        <w:tc>
          <w:tcPr>
            <w:tcW w:w="7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 related to loan servicing rights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3,613</w:t>
            </w:r>
          </w:p>
        </w:tc>
      </w:tr>
    </w:tbl>
    <w:p>
      <w:pPr>
        <w:spacing w:after="0" w:line="310" w:lineRule="exact"/>
        <w:rPr>
          <w:sz w:val="20"/>
          <w:szCs w:val="20"/>
          <w:color w:val="auto"/>
        </w:rPr>
      </w:pPr>
    </w:p>
    <w:p>
      <w:pPr>
        <w:jc w:val="both"/>
        <w:ind w:right="40" w:firstLine="619"/>
        <w:spacing w:after="0" w:line="277" w:lineRule="auto"/>
        <w:rPr>
          <w:sz w:val="20"/>
          <w:szCs w:val="20"/>
          <w:color w:val="auto"/>
        </w:rPr>
      </w:pPr>
      <w:r>
        <w:rPr>
          <w:rFonts w:ascii="Arial" w:cs="Arial" w:eastAsia="Arial" w:hAnsi="Arial"/>
          <w:sz w:val="16"/>
          <w:szCs w:val="16"/>
          <w:color w:val="auto"/>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Revenue from collection agency fees and borrower fees are included in servicing and other fees, net as part of revenue from fees, net in the Company’s condensed consolidated statements of operations and comprehensive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320" w:top="179" w:right="2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income (loss). The total fees charged by collection agencies are also recognized in the period incurred and reported as part of customer operations expenses.</w:t>
      </w:r>
    </w:p>
    <w:p>
      <w:pPr>
        <w:spacing w:after="0" w:line="25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recognized collection agency fees and borrower fees, which are included in servicing and other fees, net for the periods presented as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0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r>
      <w:tr>
        <w:trPr>
          <w:trHeight w:val="213"/>
        </w:trPr>
        <w:tc>
          <w:tcPr>
            <w:tcW w:w="7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Collection agency fees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3,916</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Borrower fees</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5,230</w:t>
            </w:r>
          </w:p>
        </w:tc>
        <w:tc>
          <w:tcPr>
            <w:tcW w:w="100" w:type="dxa"/>
            <w:vAlign w:val="bottom"/>
          </w:tcPr>
          <w:p>
            <w:pPr>
              <w:spacing w:after="0"/>
              <w:rPr>
                <w:sz w:val="18"/>
                <w:szCs w:val="18"/>
                <w:color w:val="auto"/>
              </w:rPr>
            </w:pPr>
          </w:p>
        </w:tc>
        <w:tc>
          <w:tcPr>
            <w:tcW w:w="1200" w:type="dxa"/>
            <w:vAlign w:val="bottom"/>
          </w:tcPr>
          <w:p>
            <w:pPr>
              <w:jc w:val="right"/>
              <w:ind w:right="1014"/>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7,737</w:t>
            </w:r>
          </w:p>
        </w:tc>
      </w:tr>
    </w:tbl>
    <w:p>
      <w:pPr>
        <w:spacing w:after="0" w:line="28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Interest Income and Fair Value Adjustments, Net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income and fair value adjustments, net is comprised of interest income, interest expense and net changes in the fair value of financial instruments, held in the Company’s normal course of business at fair value, including loans and notes receivable and residual certificates.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components of the interest income and fair value adjustments, net presented in the Company’s condensed consolidated statements of operations and comprehensive income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00" w:type="dxa"/>
            <w:vAlign w:val="bottom"/>
          </w:tcPr>
          <w:p>
            <w:pPr>
              <w:spacing w:after="0"/>
              <w:rPr>
                <w:sz w:val="19"/>
                <w:szCs w:val="19"/>
                <w:color w:val="auto"/>
              </w:rPr>
            </w:pPr>
          </w:p>
        </w:tc>
        <w:tc>
          <w:tcPr>
            <w:tcW w:w="354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77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2023</w:t>
            </w: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45,315</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(7,132)</w:t>
            </w:r>
          </w:p>
        </w:tc>
      </w:tr>
      <w:tr>
        <w:trPr>
          <w:trHeight w:val="246"/>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and other adjustments</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Unrealized loss, charge-offs, and other adjustments, net</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(19,309)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(44,544)</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Realized gain (loss) on sale of loans, net</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(7,853)</w:t>
            </w:r>
          </w:p>
        </w:tc>
      </w:tr>
      <w:tr>
        <w:trPr>
          <w:trHeight w:val="211"/>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fair value and other adjustments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(18,021)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(52,397)</w:t>
            </w:r>
          </w:p>
        </w:tc>
      </w:tr>
      <w:tr>
        <w:trPr>
          <w:trHeight w:val="239"/>
        </w:trPr>
        <w:tc>
          <w:tcPr>
            <w:tcW w:w="77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r>
      <w:tr>
        <w:trPr>
          <w:trHeight w:val="212"/>
        </w:trPr>
        <w:tc>
          <w:tcPr>
            <w:tcW w:w="7700" w:type="dxa"/>
            <w:vAlign w:val="bottom"/>
          </w:tcPr>
          <w:p>
            <w:pPr>
              <w:ind w:left="20"/>
              <w:spacing w:after="0"/>
              <w:rPr>
                <w:sz w:val="20"/>
                <w:szCs w:val="20"/>
                <w:color w:val="auto"/>
              </w:rPr>
            </w:pPr>
            <w:r>
              <w:rPr>
                <w:rFonts w:ascii="Arial" w:cs="Arial" w:eastAsia="Arial" w:hAnsi="Arial"/>
                <w:sz w:val="17"/>
                <w:szCs w:val="17"/>
                <w:color w:val="auto"/>
              </w:rPr>
              <w:t>Total interest income and fair value adjustments, net</w:t>
            </w: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(14,214)</w:t>
            </w:r>
          </w:p>
        </w:tc>
      </w:tr>
      <w:tr>
        <w:trPr>
          <w:trHeight w:val="20"/>
        </w:trPr>
        <w:tc>
          <w:tcPr>
            <w:tcW w:w="7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income</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income is recognized based on the terms of the underlying agreements with borrowers for loans held on the Company’s condensed consolidated balance sheets and is earned over the life of a loan.</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The Company does not record an allowance for credit losses on accrued interest receivable. As of December 31, 2022 and March 31, 2023, the Company has recorded $12.8 million and $13.9 million of accrued interest income in loans on the condensed consolidated balance sheets, respectively.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expense</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Interest expense is primarily related to interest recorded on the Company’s borrowings on warehouse credit facilities. Interest expense includes accrued interest incurred but not paid. Accrued interest expenses were immaterial as of December 31, 2022 and March 31, 2023. Interest expense also includes changes in fair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interest rate cap, which were immaterial for the quarter ended March 31, 2023. Refer to </w:t>
      </w:r>
      <w:r>
        <w:rPr>
          <w:rFonts w:ascii="Arial" w:cs="Arial" w:eastAsia="Arial" w:hAnsi="Arial"/>
          <w:sz w:val="16"/>
          <w:szCs w:val="16"/>
          <w:i w:val="1"/>
          <w:iCs w:val="1"/>
          <w:color w:val="auto"/>
        </w:rPr>
        <w:t>“Note 4. Derivative Financial Instruments”</w:t>
      </w:r>
      <w:r>
        <w:rPr>
          <w:rFonts w:ascii="Arial" w:cs="Arial" w:eastAsia="Arial" w:hAnsi="Arial"/>
          <w:sz w:val="16"/>
          <w:szCs w:val="16"/>
          <w:color w:val="auto"/>
        </w:rPr>
        <w:t xml:space="preserve"> for additional information.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Fair value and other adjustments, net</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Fair value and other adjustments, net include changes in fair value of financial instruments, other than loan servicing assets and liabilities and the interest rate cap. These adjustments are recorded in the Company’s condensed consolidated statements of operations and comprehensive income (loss) and include both realized and unrealized changes to the value of related assets and liabilities. Refer to “</w:t>
      </w:r>
      <w:r>
        <w:rPr>
          <w:rFonts w:ascii="Arial" w:cs="Arial" w:eastAsia="Arial" w:hAnsi="Arial"/>
          <w:sz w:val="16"/>
          <w:szCs w:val="16"/>
          <w:i w:val="1"/>
          <w:iCs w:val="1"/>
          <w:color w:val="auto"/>
        </w:rPr>
        <w:t>Note 5. Fair Value Measurement</w:t>
      </w:r>
      <w:r>
        <w:rPr>
          <w:rFonts w:ascii="Arial" w:cs="Arial" w:eastAsia="Arial" w:hAnsi="Arial"/>
          <w:sz w:val="16"/>
          <w:szCs w:val="16"/>
          <w:color w:val="auto"/>
        </w:rPr>
        <w:t>” for additional information.</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Fair value and other adjustments, net also includes gain (loss) recognized through our capital markets programs and amounts received from borrowers for previously charged-off loans held on the Company’s condensed consolidated balance sheets. These amounts are recognized in the period when amounts are received or the transaction is completed.</w:t>
      </w:r>
    </w:p>
    <w:p>
      <w:pPr>
        <w:spacing w:after="0" w:line="195"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Variable Interest Entities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Consolidated VIEs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consolidates variable interest entities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Warehouse Entities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established Upstart Loan Trust (“ULT”) and Upstart Auto Warehouse Trust (“UAWT”) to enter into warehouse credit facilities for the purpose of purchasing Upstart-powered loans. Refer to “</w:t>
      </w:r>
      <w:r>
        <w:rPr>
          <w:rFonts w:ascii="Arial" w:cs="Arial" w:eastAsia="Arial" w:hAnsi="Arial"/>
          <w:sz w:val="17"/>
          <w:szCs w:val="17"/>
          <w:i w:val="1"/>
          <w:iCs w:val="1"/>
          <w:color w:val="auto"/>
        </w:rPr>
        <w:t>Note 8. Borrowings</w:t>
      </w:r>
      <w:r>
        <w:rPr>
          <w:rFonts w:ascii="Arial" w:cs="Arial" w:eastAsia="Arial" w:hAnsi="Arial"/>
          <w:sz w:val="17"/>
          <w:szCs w:val="17"/>
          <w:color w:val="auto"/>
        </w:rPr>
        <w:t>” for additional information. The entities are Delaware statutory trusts that are structured to be bankruptcy-remote, with third-party banks operating as trustees.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Consolidated VIE</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Upstart Loan Trust 2, a Delaware statutory trust, holds loans facilitated through the Upstart platform that are not pledged or eligible to be pledged to the Company’s warehouse credit facilities.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a summary of financial assets and liabilities from the Company’s involvement with consolidated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Net Assets</w:t>
            </w:r>
          </w:p>
        </w:tc>
      </w:tr>
      <w:tr>
        <w:trPr>
          <w:trHeight w:val="20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Total consolidated VIEs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984,481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337,830</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646,651</w:t>
            </w:r>
          </w:p>
        </w:tc>
      </w:tr>
      <w:tr>
        <w:trPr>
          <w:trHeight w:val="568"/>
        </w:trPr>
        <w:tc>
          <w:tcPr>
            <w:tcW w:w="6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24"/>
                <w:szCs w:val="24"/>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Net Assets</w:t>
            </w:r>
          </w:p>
        </w:tc>
      </w:tr>
      <w:tr>
        <w:trPr>
          <w:trHeight w:val="20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March 31, 2023</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Total consolidated VIEs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995,857</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351,478</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644,379</w:t>
            </w:r>
          </w:p>
        </w:tc>
      </w:tr>
    </w:tbl>
    <w:p>
      <w:pPr>
        <w:spacing w:after="0" w:line="2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Unconsolidated VIEs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Company’s transactions with unconsolidated VIEs include securitizations of unsecured personal whole loans and sales of whole loans to VIEs. While the Company continues to be involved with the unconsolidated VIEs in its role as the sponsor and the servicer of these transactions, the Company does not hold a significant economic interest in these entities and has determined that it is not the primary beneficiary of these entities. The Company’s unconsolidated VIEs include entities established as the issuers and grantor trusts for various securitization transactions.</w:t>
      </w:r>
    </w:p>
    <w:p>
      <w:pPr>
        <w:spacing w:after="0" w:line="20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tables summarize the aggregate value of assets and liabilities of unconsolidated VIEs in which the Company holds a variable interest but is not the primary beneficiary: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Maximum Exposure</w:t>
            </w:r>
          </w:p>
        </w:tc>
      </w:tr>
      <w:tr>
        <w:trPr>
          <w:trHeight w:val="224"/>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Assets</w:t>
            </w:r>
          </w:p>
        </w:tc>
        <w:tc>
          <w:tcPr>
            <w:tcW w:w="260" w:type="dxa"/>
            <w:vAlign w:val="bottom"/>
          </w:tcPr>
          <w:p>
            <w:pPr>
              <w:spacing w:after="0"/>
              <w:rPr>
                <w:sz w:val="19"/>
                <w:szCs w:val="19"/>
                <w:color w:val="auto"/>
              </w:rPr>
            </w:pPr>
          </w:p>
        </w:tc>
        <w:tc>
          <w:tcPr>
            <w:tcW w:w="1460" w:type="dxa"/>
            <w:vAlign w:val="bottom"/>
            <w:gridSpan w:val="2"/>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19"/>
                <w:szCs w:val="19"/>
                <w:color w:val="auto"/>
              </w:rPr>
            </w:pPr>
          </w:p>
        </w:tc>
        <w:tc>
          <w:tcPr>
            <w:tcW w:w="1440" w:type="dxa"/>
            <w:vAlign w:val="bottom"/>
            <w:gridSpan w:val="2"/>
          </w:tcPr>
          <w:p>
            <w:pPr>
              <w:ind w:left="160"/>
              <w:spacing w:after="0"/>
              <w:rPr>
                <w:sz w:val="20"/>
                <w:szCs w:val="20"/>
                <w:color w:val="auto"/>
              </w:rPr>
            </w:pPr>
            <w:r>
              <w:rPr>
                <w:rFonts w:ascii="Arial" w:cs="Arial" w:eastAsia="Arial" w:hAnsi="Arial"/>
                <w:sz w:val="17"/>
                <w:szCs w:val="17"/>
                <w:b w:val="1"/>
                <w:bCs w:val="1"/>
                <w:color w:val="auto"/>
              </w:rPr>
              <w:t>Net Assets</w:t>
            </w:r>
          </w:p>
        </w:tc>
        <w:tc>
          <w:tcPr>
            <w:tcW w:w="300" w:type="dxa"/>
            <w:vAlign w:val="bottom"/>
          </w:tcPr>
          <w:p>
            <w:pPr>
              <w:spacing w:after="0"/>
              <w:rPr>
                <w:sz w:val="19"/>
                <w:szCs w:val="19"/>
                <w:color w:val="auto"/>
              </w:rPr>
            </w:pPr>
          </w:p>
        </w:tc>
        <w:tc>
          <w:tcPr>
            <w:tcW w:w="1340" w:type="dxa"/>
            <w:vAlign w:val="bottom"/>
          </w:tcPr>
          <w:p>
            <w:pPr>
              <w:jc w:val="right"/>
              <w:ind w:right="394"/>
              <w:spacing w:after="0"/>
              <w:rPr>
                <w:sz w:val="20"/>
                <w:szCs w:val="20"/>
                <w:color w:val="auto"/>
              </w:rPr>
            </w:pPr>
            <w:r>
              <w:rPr>
                <w:rFonts w:ascii="Arial" w:cs="Arial" w:eastAsia="Arial" w:hAnsi="Arial"/>
                <w:sz w:val="17"/>
                <w:szCs w:val="17"/>
                <w:b w:val="1"/>
                <w:bCs w:val="1"/>
                <w:color w:val="auto"/>
              </w:rPr>
              <w:t>to Losses</w:t>
            </w:r>
          </w:p>
        </w:tc>
      </w:tr>
      <w:tr>
        <w:trPr>
          <w:trHeight w:val="20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Securitizations and other</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364,013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265,040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98,973</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13,311</w:t>
            </w:r>
          </w:p>
        </w:tc>
      </w:tr>
      <w:tr>
        <w:trPr>
          <w:trHeight w:val="517"/>
        </w:trPr>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Maximum Exposure</w:t>
            </w:r>
          </w:p>
        </w:tc>
      </w:tr>
      <w:tr>
        <w:trPr>
          <w:trHeight w:val="231"/>
        </w:trPr>
        <w:tc>
          <w:tcPr>
            <w:tcW w:w="4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Assets</w:t>
            </w:r>
          </w:p>
        </w:tc>
        <w:tc>
          <w:tcPr>
            <w:tcW w:w="26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7"/>
                <w:szCs w:val="17"/>
                <w:b w:val="1"/>
                <w:bCs w:val="1"/>
                <w:color w:val="auto"/>
              </w:rPr>
              <w:t>Net Assets</w:t>
            </w:r>
          </w:p>
        </w:tc>
        <w:tc>
          <w:tcPr>
            <w:tcW w:w="300" w:type="dxa"/>
            <w:vAlign w:val="bottom"/>
          </w:tcPr>
          <w:p>
            <w:pPr>
              <w:spacing w:after="0"/>
              <w:rPr>
                <w:sz w:val="20"/>
                <w:szCs w:val="20"/>
                <w:color w:val="auto"/>
              </w:rPr>
            </w:pPr>
          </w:p>
        </w:tc>
        <w:tc>
          <w:tcPr>
            <w:tcW w:w="1340" w:type="dxa"/>
            <w:vAlign w:val="bottom"/>
          </w:tcPr>
          <w:p>
            <w:pPr>
              <w:jc w:val="right"/>
              <w:ind w:right="394"/>
              <w:spacing w:after="0"/>
              <w:rPr>
                <w:sz w:val="20"/>
                <w:szCs w:val="20"/>
                <w:color w:val="auto"/>
              </w:rPr>
            </w:pPr>
            <w:r>
              <w:rPr>
                <w:rFonts w:ascii="Arial" w:cs="Arial" w:eastAsia="Arial" w:hAnsi="Arial"/>
                <w:sz w:val="17"/>
                <w:szCs w:val="17"/>
                <w:b w:val="1"/>
                <w:bCs w:val="1"/>
                <w:color w:val="auto"/>
              </w:rPr>
              <w:t>to Losses</w:t>
            </w:r>
          </w:p>
        </w:tc>
      </w:tr>
      <w:tr>
        <w:trPr>
          <w:trHeight w:val="20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March 31, 2023</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Securitizations and other</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312,600</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223,703</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88,897</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12,138</w:t>
            </w:r>
          </w:p>
        </w:tc>
      </w:tr>
    </w:tbl>
    <w:p>
      <w:pPr>
        <w:spacing w:after="0" w:line="3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its affiliates are subject principally to the credit and prepayment risk stemming from the underlying unsecured personal whole loans.</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carrying value of assets that relate to variable interests in unconsolidated VIEs consists of $6.2 million and $5.0 million of securitization notes and residual certificates which are included in other assets on the consolidated balance sheets as of December 31, 2022 and March 31, 2023, respectively. The Company also had $7.1 million of cash deposits made to reserve accounts for related securitizations, included in other assets on the condensed consolidated balance sheets as of December 31, 2022 and March 31, 2023.</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Off-Balance Sheet Loans</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routinely contributes loans to securitization transactions which it co-sponsors as a non-retaining sponsor. As a non-retaining sponsor and a servicer of these transactions, the Company does not retain economic risk in these transactions. Contributions of loans to these securitizations are recognized as transfers under ASC 860, Transfers and Servicing.</w:t>
      </w:r>
    </w:p>
    <w:p>
      <w:pPr>
        <w:spacing w:after="0" w:line="195"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Derivative Financial Instruments</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February 2023, UAWT entered into a $198.7 million notional amortizing interest rate cap agreement with a strike rate of 3.0% and a premium of $5.6 million in relation to the $200 million UAWT Warehouse Credit Facility, which uses a 1-month Secured Overnight Financing Rate (“SOFR”) as the underlying variable rate for the interest rate on the borrowings under the facility. This cap provides protection to UAWT against exposure to changes in cash flows to the extent 1-month SOFR exceeds 3.0%. This agreement also ensures that the Company remains compliant with the covenants of the Warehouse Credit Agreement. The interest rate cap has a maturity date of April 2029.</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interest rate cap meets the definition of a derivative and is reported at fair value as part of other assets on the condensed consolidated balance sheets. It is classified as Level 2 under the fair value hierarchy as the inputs to the derivative pricing model are generally observable and do not contain a high level of subjectivity. The fair value of the interest rate cap is determined based on the present value of the estimated future cash flows over the contract term using implied interest rates as of the valuation date. The Company recorded an immaterial loss within interest expense on the condensed consolidated statements of operations and comprehensive income (loss) for the quarter ended March 31, 2023.</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March 2023, in connection with a loan sale agreement, we entered into an arrangement under which we are obligated to make payments to the loan buyer or are entitled to receive payments from the buyer if credit losses on personal loans subject to the arrangement deviate from expectations, subject to a dollar cap. As the loan purchaser maintains control of the transferred assets and retains the risk of loss, and the assets remain legally isolated from the Company, the transfer qualified for true sale accounting. The derivative is classified as an asset or a liability and its value is included in other assets or other liabilities, respectively, on the condensed consolidated balance sheets based on the classification of this derivative as an asset or liability. The arrangement is measured at fair value on a recurring basis using a discounted cash flow model. It is categorized as a Level 3 instrument, as the fair value depends on the credit performance of the underlying loan portfolio. The arrangement had no value as of March 31, 2023 as the underlying loan portfolio performs in line with expectations. It also had no impact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Company’s condensed consolidated statements of operations and comprehensive income (loss) in the quarter ended March 31, 2023.</w:t>
      </w:r>
    </w:p>
    <w:p>
      <w:pPr>
        <w:spacing w:after="0" w:line="200" w:lineRule="exact"/>
        <w:rPr>
          <w:sz w:val="20"/>
          <w:szCs w:val="20"/>
          <w:color w:val="auto"/>
        </w:rPr>
      </w:pPr>
    </w:p>
    <w:p>
      <w:pPr>
        <w:spacing w:after="0" w:line="243"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Fair Value Measurement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assets and liabilities measured at fair value and categorized in accordance with the fair value hierarchy: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62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Level</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00"/>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8"/>
        </w:trPr>
        <w:tc>
          <w:tcPr>
            <w:tcW w:w="6240" w:type="dxa"/>
            <w:vAlign w:val="bottom"/>
          </w:tcPr>
          <w:p>
            <w:pPr>
              <w:ind w:left="20"/>
              <w:spacing w:after="0"/>
              <w:rPr>
                <w:sz w:val="20"/>
                <w:szCs w:val="20"/>
                <w:color w:val="auto"/>
              </w:rPr>
            </w:pPr>
            <w:r>
              <w:rPr>
                <w:rFonts w:ascii="Arial" w:cs="Arial" w:eastAsia="Arial" w:hAnsi="Arial"/>
                <w:sz w:val="17"/>
                <w:szCs w:val="17"/>
                <w:color w:val="auto"/>
              </w:rPr>
              <w:t>Loans</w:t>
            </w:r>
          </w:p>
        </w:tc>
        <w:tc>
          <w:tcPr>
            <w:tcW w:w="164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1,010,421</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982,229</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receivable and residual certificates</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5,009</w:t>
            </w:r>
          </w:p>
        </w:tc>
      </w:tr>
      <w:tr>
        <w:trPr>
          <w:trHeight w:val="218"/>
        </w:trPr>
        <w:tc>
          <w:tcPr>
            <w:tcW w:w="6240" w:type="dxa"/>
            <w:vAlign w:val="bottom"/>
          </w:tcPr>
          <w:p>
            <w:pPr>
              <w:ind w:left="20"/>
              <w:spacing w:after="0"/>
              <w:rPr>
                <w:sz w:val="20"/>
                <w:szCs w:val="20"/>
                <w:color w:val="auto"/>
              </w:rPr>
            </w:pPr>
            <w:r>
              <w:rPr>
                <w:rFonts w:ascii="Arial" w:cs="Arial" w:eastAsia="Arial" w:hAnsi="Arial"/>
                <w:sz w:val="17"/>
                <w:szCs w:val="17"/>
                <w:color w:val="auto"/>
              </w:rPr>
              <w:t>Loan servicing assets</w:t>
            </w:r>
          </w:p>
        </w:tc>
        <w:tc>
          <w:tcPr>
            <w:tcW w:w="164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36,467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34,650</w:t>
            </w:r>
          </w:p>
        </w:tc>
      </w:tr>
      <w:tr>
        <w:trPr>
          <w:trHeight w:val="220"/>
        </w:trPr>
        <w:tc>
          <w:tcPr>
            <w:tcW w:w="62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Interest rate cap</w:t>
            </w:r>
            <w:r>
              <w:rPr>
                <w:rFonts w:ascii="Arial" w:cs="Arial" w:eastAsia="Arial" w:hAnsi="Arial"/>
                <w:sz w:val="22"/>
                <w:szCs w:val="22"/>
                <w:color w:val="auto"/>
                <w:vertAlign w:val="superscript"/>
              </w:rPr>
              <w:t>(1)</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4,437</w:t>
            </w:r>
          </w:p>
        </w:tc>
      </w:tr>
      <w:tr>
        <w:trPr>
          <w:trHeight w:val="211"/>
        </w:trPr>
        <w:tc>
          <w:tcPr>
            <w:tcW w:w="624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6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1,053,069</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1,026,325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6"/>
        </w:trPr>
        <w:tc>
          <w:tcPr>
            <w:tcW w:w="624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Liabilities</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8"/>
        </w:trPr>
        <w:tc>
          <w:tcPr>
            <w:tcW w:w="6240" w:type="dxa"/>
            <w:vAlign w:val="bottom"/>
          </w:tcPr>
          <w:p>
            <w:pPr>
              <w:ind w:left="20"/>
              <w:spacing w:after="0"/>
              <w:rPr>
                <w:sz w:val="20"/>
                <w:szCs w:val="20"/>
                <w:color w:val="auto"/>
              </w:rPr>
            </w:pPr>
            <w:r>
              <w:rPr>
                <w:rFonts w:ascii="Arial" w:cs="Arial" w:eastAsia="Arial" w:hAnsi="Arial"/>
                <w:sz w:val="17"/>
                <w:szCs w:val="17"/>
                <w:color w:val="auto"/>
              </w:rPr>
              <w:t>Loan servicing liabilities</w:t>
            </w:r>
          </w:p>
        </w:tc>
        <w:tc>
          <w:tcPr>
            <w:tcW w:w="164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3,968</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3,142</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Trailing fee liabilities</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4,449</w:t>
            </w:r>
          </w:p>
        </w:tc>
      </w:tr>
      <w:tr>
        <w:trPr>
          <w:trHeight w:val="211"/>
        </w:trPr>
        <w:tc>
          <w:tcPr>
            <w:tcW w:w="624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164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7,591</w:t>
            </w:r>
          </w:p>
        </w:tc>
      </w:tr>
      <w:tr>
        <w:trPr>
          <w:trHeight w:val="20"/>
        </w:trPr>
        <w:tc>
          <w:tcPr>
            <w:tcW w:w="6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240" w:hanging="618"/>
        <w:spacing w:after="0"/>
        <w:tabs>
          <w:tab w:leader="none" w:pos="1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terms and fair value considerations of the interest rate cap agreement can be found in “</w:t>
      </w:r>
      <w:r>
        <w:rPr>
          <w:rFonts w:ascii="Arial" w:cs="Arial" w:eastAsia="Arial" w:hAnsi="Arial"/>
          <w:sz w:val="14"/>
          <w:szCs w:val="14"/>
          <w:i w:val="1"/>
          <w:iCs w:val="1"/>
          <w:color w:val="auto"/>
        </w:rPr>
        <w:t>Note 4. Derivative Financial Instruments</w:t>
      </w:r>
      <w:r>
        <w:rPr>
          <w:rFonts w:ascii="Arial" w:cs="Arial" w:eastAsia="Arial" w:hAnsi="Arial"/>
          <w:sz w:val="14"/>
          <w:szCs w:val="14"/>
          <w:color w:val="auto"/>
        </w:rPr>
        <w:t>”</w:t>
      </w:r>
    </w:p>
    <w:p>
      <w:pPr>
        <w:spacing w:after="0" w:line="23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Financial instruments are categorized in the fair value hierarchy based on the significance of unobservable factors in the overall fair value measurement. Since the Company’s loans, notes receivable and residual certificates, loan servicing assets and liabilities, and trailing fee liabilities do not trade in an active market with readily observable prices, the Company uses significant unobservable inputs to measure the fair value of these assets and liabilities.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transfers between Level 1, Level 2 or Level 3 of the fair value hierarchy during the periods presented.</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Loans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Loans included in the Company’s condensed consolidated balance sheets are classified as either held-for-sale or held-for-investment based on the Company’s intent and ability to sell the loans prior to maturity. From time to time the Company transfers loans between classifications based on changes in the Company’s intent. As of December 31, 2022, $882.8 million and $127.6 million of loans held on the Company’s condensed consolidated balance sheets were classified as held-for-sale and held-for-investment, respectively. As of March 31, 2023, $839.5 million and $142.7 million of loans held on the Company’s condensed consolidated balance sheets were classified as held-for-sale and held-for-investment, respectively.</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for loans held-for-investment and held-for-sale: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w w:val="90"/>
              </w:rPr>
              <w:t>December 31, 2022</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March 31, 2023</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Minimum</w:t>
            </w:r>
          </w:p>
        </w:tc>
        <w:tc>
          <w:tcPr>
            <w:tcW w:w="1460" w:type="dxa"/>
            <w:vAlign w:val="bottom"/>
            <w:gridSpan w:val="2"/>
            <w:vMerge w:val="restart"/>
          </w:tcPr>
          <w:p>
            <w:pPr>
              <w:ind w:left="300"/>
              <w:spacing w:after="0"/>
              <w:rPr>
                <w:sz w:val="20"/>
                <w:szCs w:val="20"/>
                <w:color w:val="auto"/>
              </w:rPr>
            </w:pPr>
            <w:r>
              <w:rPr>
                <w:rFonts w:ascii="Arial" w:cs="Arial" w:eastAsia="Arial" w:hAnsi="Arial"/>
                <w:sz w:val="17"/>
                <w:szCs w:val="17"/>
                <w:b w:val="1"/>
                <w:bCs w:val="1"/>
                <w:color w:val="auto"/>
              </w:rPr>
              <w:t>Maximum</w:t>
            </w:r>
          </w:p>
        </w:tc>
        <w:tc>
          <w:tcPr>
            <w:tcW w:w="1480" w:type="dxa"/>
            <w:vAlign w:val="bottom"/>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Minimum</w:t>
            </w:r>
          </w:p>
        </w:tc>
        <w:tc>
          <w:tcPr>
            <w:tcW w:w="1460" w:type="dxa"/>
            <w:vAlign w:val="bottom"/>
            <w:gridSpan w:val="2"/>
            <w:vMerge w:val="restart"/>
          </w:tcPr>
          <w:p>
            <w:pPr>
              <w:ind w:left="300"/>
              <w:spacing w:after="0"/>
              <w:rPr>
                <w:sz w:val="20"/>
                <w:szCs w:val="20"/>
                <w:color w:val="auto"/>
              </w:rPr>
            </w:pPr>
            <w:r>
              <w:rPr>
                <w:rFonts w:ascii="Arial" w:cs="Arial" w:eastAsia="Arial" w:hAnsi="Arial"/>
                <w:sz w:val="17"/>
                <w:szCs w:val="17"/>
                <w:b w:val="1"/>
                <w:bCs w:val="1"/>
                <w:color w:val="auto"/>
              </w:rPr>
              <w:t>Maximum</w:t>
            </w:r>
          </w:p>
        </w:tc>
        <w:tc>
          <w:tcPr>
            <w:tcW w:w="1480" w:type="dxa"/>
            <w:vAlign w:val="bottom"/>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tcPr>
          <w:p>
            <w:pPr>
              <w:jc w:val="right"/>
              <w:ind w:right="60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tcPr>
          <w:p>
            <w:pPr>
              <w:jc w:val="right"/>
              <w:ind w:right="600"/>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13"/>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6.36 %</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22.28 %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11.87 %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6.36 %</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22.67 %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11.78 %</w:t>
            </w:r>
          </w:p>
        </w:tc>
        <w:tc>
          <w:tcPr>
            <w:tcW w:w="0" w:type="dxa"/>
            <w:vAlign w:val="bottom"/>
          </w:tcPr>
          <w:p>
            <w:pPr>
              <w:spacing w:after="0"/>
              <w:rPr>
                <w:sz w:val="1"/>
                <w:szCs w:val="1"/>
                <w:color w:val="auto"/>
              </w:rPr>
            </w:pPr>
          </w:p>
        </w:tc>
      </w:tr>
      <w:tr>
        <w:trPr>
          <w:trHeight w:val="219"/>
        </w:trPr>
        <w:tc>
          <w:tcPr>
            <w:tcW w:w="234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7"/>
                <w:szCs w:val="17"/>
                <w:color w:val="auto"/>
              </w:rPr>
              <w:t>0.01 %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93.09 %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16.93 %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93.05 %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16.97 %</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93.43 %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93.43 %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40.65 %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40" w:hanging="618"/>
        <w:spacing w:after="0"/>
        <w:tabs>
          <w:tab w:leader="none" w:pos="1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w:t>
      </w:r>
    </w:p>
    <w:p>
      <w:pPr>
        <w:spacing w:after="0" w:line="5" w:lineRule="exact"/>
        <w:rPr>
          <w:rFonts w:ascii="Arial" w:cs="Arial" w:eastAsia="Arial" w:hAnsi="Arial"/>
          <w:sz w:val="14"/>
          <w:szCs w:val="14"/>
          <w:color w:val="auto"/>
        </w:rPr>
      </w:pPr>
    </w:p>
    <w:p>
      <w:pPr>
        <w:ind w:left="1240" w:hanging="618"/>
        <w:spacing w:after="0"/>
        <w:tabs>
          <w:tab w:leader="none" w:pos="1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i w:val="1"/>
          <w:iCs w:val="1"/>
          <w:color w:val="auto"/>
        </w:rPr>
        <w:t>Discount rates</w:t>
      </w:r>
      <w:r>
        <w:rPr>
          <w:rFonts w:ascii="Arial" w:cs="Arial" w:eastAsia="Arial" w:hAnsi="Arial"/>
          <w:sz w:val="17"/>
          <w:szCs w:val="17"/>
          <w:color w:val="auto"/>
        </w:rPr>
        <w:t>–The discount rates are rates of return used to discount future expected cash flows to arrive at a present value, which represents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0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Credit risk rates</w:t>
      </w:r>
      <w:r>
        <w:rPr>
          <w:rFonts w:ascii="Arial" w:cs="Arial" w:eastAsia="Arial" w:hAnsi="Arial"/>
          <w:sz w:val="16"/>
          <w:szCs w:val="16"/>
          <w:color w:val="auto"/>
        </w:rPr>
        <w:t>–The credit risk rates are an estimate of the net cumulative principal payments that will not be repaid over the entire life of a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84"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i w:val="1"/>
          <w:iCs w:val="1"/>
          <w:color w:val="auto"/>
        </w:rPr>
        <w:t>Prepayment rates</w:t>
      </w:r>
      <w:r>
        <w:rPr>
          <w:rFonts w:ascii="Arial" w:cs="Arial" w:eastAsia="Arial" w:hAnsi="Arial"/>
          <w:sz w:val="15"/>
          <w:szCs w:val="15"/>
          <w:color w:val="auto"/>
        </w:rPr>
        <w:t>–Prepayment rates are an estimate of the cumulative principal prepayments that will occur over the entire life of a loan as a percentage</w:t>
      </w:r>
      <w:r>
        <w:rPr>
          <w:rFonts w:ascii="Arial" w:cs="Arial" w:eastAsia="Arial" w:hAnsi="Arial"/>
          <w:sz w:val="15"/>
          <w:szCs w:val="15"/>
          <w:i w:val="1"/>
          <w:iCs w:val="1"/>
          <w:color w:val="auto"/>
        </w:rPr>
        <w:t xml:space="preserve"> </w:t>
      </w:r>
      <w:r>
        <w:rPr>
          <w:rFonts w:ascii="Arial" w:cs="Arial" w:eastAsia="Arial" w:hAnsi="Arial"/>
          <w:sz w:val="15"/>
          <w:szCs w:val="15"/>
          <w:color w:val="auto"/>
        </w:rPr>
        <w:t>of the original principal amount of the loan. The assumption regarding cumulative prepayments impact the projected balances and expected terms of the loans.</w:t>
      </w:r>
    </w:p>
    <w:p>
      <w:pPr>
        <w:spacing w:after="0" w:line="1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above inputs are similarly used in estimating fair value of related financial instruments. Refer to the Assets and Liabilities related to Securitization Transactions section below for additional information.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the sensitivity of the loans held-for-sale and held-for-investment to adverse changes in key assumptions used in the valuation model as of December 31, 2022 and March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of loans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1,010,421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982,229</w:t>
            </w:r>
          </w:p>
        </w:tc>
      </w:tr>
      <w:tr>
        <w:trPr>
          <w:trHeight w:val="198"/>
        </w:trPr>
        <w:tc>
          <w:tcPr>
            <w:tcW w:w="7880" w:type="dxa"/>
            <w:vAlign w:val="bottom"/>
          </w:tcPr>
          <w:p>
            <w:pPr>
              <w:ind w:left="20"/>
              <w:spacing w:after="0"/>
              <w:rPr>
                <w:sz w:val="20"/>
                <w:szCs w:val="20"/>
                <w:color w:val="auto"/>
              </w:rPr>
            </w:pPr>
            <w:r>
              <w:rPr>
                <w:rFonts w:ascii="Arial" w:cs="Arial" w:eastAsia="Arial" w:hAnsi="Arial"/>
                <w:sz w:val="17"/>
                <w:szCs w:val="17"/>
                <w:color w:val="auto"/>
              </w:rPr>
              <w:t>Discount rates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100 basis point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(11,508)</w:t>
            </w: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200 basis point increase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(23,720)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(22,790)</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credit loss rates on underlying loans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10% adverse change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(11,927)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(11,686)</w:t>
            </w: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 adverse change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(23,375)</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Expected prepayment rates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 adverse change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w:t>
            </w: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20% adverse change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(4,530)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(4,435)</w:t>
            </w:r>
          </w:p>
        </w:tc>
      </w:tr>
    </w:tbl>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include a rollforward of the loans classified within Level 3 of the fair value hierarchy: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Loans Held-for-</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Loans Held-for-</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1"/>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Sale</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Investment</w:t>
            </w:r>
          </w:p>
        </w:tc>
        <w:tc>
          <w:tcPr>
            <w:tcW w:w="380" w:type="dxa"/>
            <w:vAlign w:val="bottom"/>
          </w:tcPr>
          <w:p>
            <w:pPr>
              <w:spacing w:after="0"/>
              <w:rPr>
                <w:sz w:val="20"/>
                <w:szCs w:val="20"/>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Total</w:t>
            </w:r>
          </w:p>
        </w:tc>
      </w:tr>
      <w:tr>
        <w:trPr>
          <w:trHeight w:val="21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109,792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252,477</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color w:val="auto"/>
              </w:rPr>
              <w:t>Reclassification of loans from HFI to HFS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109,792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(109,792)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443,190</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(50,764)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(50,764)</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3,014,594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3,014,594</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Immediate resale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(3,014,594)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(3,014,594)</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(29,726)</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(19,511)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(19,511)</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2,315</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597,981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597,981</w:t>
            </w: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Loans Held-for-</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Loans Held-for-</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1"/>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Sale</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Investment</w:t>
            </w:r>
          </w:p>
        </w:tc>
        <w:tc>
          <w:tcPr>
            <w:tcW w:w="380" w:type="dxa"/>
            <w:vAlign w:val="bottom"/>
          </w:tcPr>
          <w:p>
            <w:pPr>
              <w:spacing w:after="0"/>
              <w:rPr>
                <w:sz w:val="20"/>
                <w:szCs w:val="20"/>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Total</w:t>
            </w:r>
          </w:p>
        </w:tc>
      </w:tr>
      <w:tr>
        <w:trPr>
          <w:trHeight w:val="21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882,810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127,611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1,010,421</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120,615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47,201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167,816</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(67,532)</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389,389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389,389</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Immediate resale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(389,389)</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(61,501)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(20,872)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(82,373)</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(48,161)</w:t>
            </w:r>
          </w:p>
        </w:tc>
      </w:tr>
      <w:tr>
        <w:trPr>
          <w:trHeight w:val="218"/>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2,058</w:t>
            </w: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839,482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142,747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982,229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the aggregate fair value and aggregate principal outstanding of all loans and loans that were 90 days or more past due included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Loans</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b w:val="1"/>
                <w:bCs w:val="1"/>
                <w:color w:val="auto"/>
              </w:rPr>
              <w:t>Loans &gt; 90 Days Past Due</w:t>
            </w:r>
          </w:p>
        </w:tc>
      </w:tr>
      <w:tr>
        <w:trPr>
          <w:trHeight w:val="207"/>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30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Arial" w:cs="Arial" w:eastAsia="Arial" w:hAnsi="Arial"/>
                <w:sz w:val="17"/>
                <w:szCs w:val="17"/>
                <w:b w:val="1"/>
                <w:bCs w:val="1"/>
                <w:color w:val="auto"/>
              </w:rPr>
              <w:t>March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December 31,</w:t>
            </w:r>
          </w:p>
        </w:tc>
        <w:tc>
          <w:tcPr>
            <w:tcW w:w="280" w:type="dxa"/>
            <w:vAlign w:val="bottom"/>
          </w:tcPr>
          <w:p>
            <w:pPr>
              <w:spacing w:after="0"/>
              <w:rPr>
                <w:sz w:val="18"/>
                <w:szCs w:val="18"/>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4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principal balance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1,047,714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1,040,562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9,006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11,341</w:t>
            </w:r>
          </w:p>
        </w:tc>
      </w:tr>
      <w:tr>
        <w:trPr>
          <w:trHeight w:val="21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fair value and accrued interest adjustments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794"/>
              <w:spacing w:after="0"/>
              <w:rPr>
                <w:sz w:val="20"/>
                <w:szCs w:val="20"/>
                <w:color w:val="auto"/>
              </w:rPr>
            </w:pPr>
            <w:r>
              <w:rPr>
                <w:rFonts w:ascii="Arial" w:cs="Arial" w:eastAsia="Arial" w:hAnsi="Arial"/>
                <w:sz w:val="17"/>
                <w:szCs w:val="17"/>
                <w:color w:val="auto"/>
                <w:w w:val="92"/>
              </w:rPr>
              <w:t>(7,006)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(9,864)</w:t>
            </w:r>
          </w:p>
        </w:tc>
      </w:tr>
      <w:tr>
        <w:trPr>
          <w:trHeight w:val="238"/>
        </w:trPr>
        <w:tc>
          <w:tcPr>
            <w:tcW w:w="442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Fair value</w:t>
            </w:r>
            <w:r>
              <w:rPr>
                <w:rFonts w:ascii="Arial" w:cs="Arial" w:eastAsia="Arial" w:hAnsi="Arial"/>
                <w:sz w:val="22"/>
                <w:szCs w:val="22"/>
                <w:color w:val="auto"/>
                <w:vertAlign w:val="superscript"/>
              </w:rPr>
              <w:t>(1)</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1,010,421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982,229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center"/>
              <w:ind w:left="794"/>
              <w:spacing w:after="0"/>
              <w:rPr>
                <w:sz w:val="20"/>
                <w:szCs w:val="20"/>
                <w:color w:val="auto"/>
              </w:rPr>
            </w:pPr>
            <w:r>
              <w:rPr>
                <w:rFonts w:ascii="Arial" w:cs="Arial" w:eastAsia="Arial" w:hAnsi="Arial"/>
                <w:sz w:val="17"/>
                <w:szCs w:val="17"/>
                <w:color w:val="auto"/>
                <w:w w:val="89"/>
              </w:rPr>
              <w:t>2,000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52" w:lineRule="auto"/>
        <w:tabs>
          <w:tab w:leader="none" w:pos="367"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$397.7 million and $401.1 million of auto loans as of December 31, 2022 and March 31, 2023, respectively, of which an immaterial amount is 90 days or more past due for each period presented.</w:t>
      </w:r>
    </w:p>
    <w:p>
      <w:pPr>
        <w:spacing w:after="0" w:line="22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19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connection with planned sale of a pool of Upstart-powered loans, subsequent to March 31, 2023, the Company recognized an unrealized loss as a negative fair value adjustment of $17.0 million for the quarter ended March 31, 2023, which is included in the fair value and other adjustments on the Company’s condensed consolidated statements of operations and comprehensive income (loss). Refer to “</w:t>
      </w:r>
      <w:r>
        <w:rPr>
          <w:rFonts w:ascii="Arial" w:cs="Arial" w:eastAsia="Arial" w:hAnsi="Arial"/>
          <w:sz w:val="16"/>
          <w:szCs w:val="16"/>
          <w:i w:val="1"/>
          <w:iCs w:val="1"/>
          <w:color w:val="auto"/>
        </w:rPr>
        <w:t>Note 15. Subsequent Events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for additional details.</w:t>
      </w:r>
    </w:p>
    <w:p>
      <w:pPr>
        <w:spacing w:after="0" w:line="30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Assets related to Securitization Transactions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December 31, 2022 and March 31, 2023, the Company held notes receivable and residual certificates with an aggregate fair value of $6.2 million and $5.0 million, respectively, within other assets on the Company’s condensed consolidated balance sheets. The balances consist of securitization notes and residual certificates retained from securitization transactions.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discounted cash flow methodology, which is used to estimate the fair value of notes receivable and residual certificates, uses the same projected net cash flows as their related loans. This model uses inputs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inherently judgmental and reflect the Company’s best estimates of the assumptions a market participant would use to calculate fair value.</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of assets related to securitization transactions: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0"/>
              </w:rPr>
              <w:t>December 31, 2022</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7"/>
                <w:szCs w:val="17"/>
                <w:b w:val="1"/>
                <w:bCs w:val="1"/>
                <w:color w:val="auto"/>
                <w:w w:val="94"/>
              </w:rPr>
              <w:t>March 31, 2023</w:t>
            </w:r>
          </w:p>
        </w:tc>
        <w:tc>
          <w:tcPr>
            <w:tcW w:w="1300" w:type="dxa"/>
            <w:vAlign w:val="bottom"/>
            <w:tcBorders>
              <w:bottom w:val="single" w:sz="8" w:color="auto"/>
            </w:tcBorders>
          </w:tcPr>
          <w:p>
            <w:pPr>
              <w:spacing w:after="0"/>
              <w:rPr>
                <w:sz w:val="19"/>
                <w:szCs w:val="19"/>
                <w:color w:val="auto"/>
              </w:rPr>
            </w:pPr>
          </w:p>
        </w:tc>
      </w:tr>
      <w:tr>
        <w:trPr>
          <w:trHeight w:val="161"/>
        </w:trPr>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174"/>
              <w:spacing w:after="0" w:line="162" w:lineRule="exact"/>
              <w:rPr>
                <w:sz w:val="20"/>
                <w:szCs w:val="20"/>
                <w:color w:val="auto"/>
              </w:rPr>
            </w:pPr>
            <w:r>
              <w:rPr>
                <w:rFonts w:ascii="Arial" w:cs="Arial" w:eastAsia="Arial" w:hAnsi="Arial"/>
                <w:sz w:val="17"/>
                <w:szCs w:val="17"/>
                <w:b w:val="1"/>
                <w:bCs w:val="1"/>
                <w:color w:val="auto"/>
              </w:rPr>
              <w:t>Weighted-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174"/>
              <w:spacing w:after="0" w:line="162" w:lineRule="exact"/>
              <w:rPr>
                <w:sz w:val="20"/>
                <w:szCs w:val="20"/>
                <w:color w:val="auto"/>
              </w:rPr>
            </w:pPr>
            <w:r>
              <w:rPr>
                <w:rFonts w:ascii="Arial" w:cs="Arial" w:eastAsia="Arial" w:hAnsi="Arial"/>
                <w:sz w:val="17"/>
                <w:szCs w:val="17"/>
                <w:b w:val="1"/>
                <w:bCs w:val="1"/>
                <w:color w:val="auto"/>
              </w:rPr>
              <w:t>Weighted-</w:t>
            </w:r>
          </w:p>
        </w:tc>
      </w:tr>
      <w:tr>
        <w:trPr>
          <w:trHeight w:val="232"/>
        </w:trPr>
        <w:tc>
          <w:tcPr>
            <w:tcW w:w="2960" w:type="dxa"/>
            <w:vAlign w:val="bottom"/>
          </w:tcPr>
          <w:p>
            <w:pPr>
              <w:spacing w:after="0"/>
              <w:rPr>
                <w:sz w:val="20"/>
                <w:szCs w:val="20"/>
                <w:color w:val="auto"/>
              </w:rPr>
            </w:pPr>
          </w:p>
        </w:tc>
        <w:tc>
          <w:tcPr>
            <w:tcW w:w="1280" w:type="dxa"/>
            <w:vAlign w:val="bottom"/>
          </w:tcPr>
          <w:p>
            <w:pPr>
              <w:jc w:val="right"/>
              <w:ind w:right="194"/>
              <w:spacing w:after="0"/>
              <w:rPr>
                <w:sz w:val="20"/>
                <w:szCs w:val="20"/>
                <w:color w:val="auto"/>
              </w:rPr>
            </w:pPr>
            <w:r>
              <w:rPr>
                <w:rFonts w:ascii="Arial" w:cs="Arial" w:eastAsia="Arial" w:hAnsi="Arial"/>
                <w:sz w:val="17"/>
                <w:szCs w:val="17"/>
                <w:b w:val="1"/>
                <w:bCs w:val="1"/>
                <w:color w:val="auto"/>
              </w:rPr>
              <w:t>Minimum</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Maximum</w:t>
            </w:r>
          </w:p>
        </w:tc>
        <w:tc>
          <w:tcPr>
            <w:tcW w:w="1400" w:type="dxa"/>
            <w:vAlign w:val="bottom"/>
            <w:gridSpan w:val="2"/>
          </w:tcPr>
          <w:p>
            <w:pPr>
              <w:jc w:val="right"/>
              <w:ind w:right="360"/>
              <w:spacing w:after="0" w:line="232" w:lineRule="exact"/>
              <w:rPr>
                <w:sz w:val="20"/>
                <w:szCs w:val="20"/>
                <w:color w:val="auto"/>
              </w:rPr>
            </w:pPr>
            <w:r>
              <w:rPr>
                <w:rFonts w:ascii="Arial" w:cs="Arial" w:eastAsia="Arial" w:hAnsi="Arial"/>
                <w:sz w:val="17"/>
                <w:szCs w:val="17"/>
                <w:b w:val="1"/>
                <w:bCs w:val="1"/>
                <w:color w:val="auto"/>
              </w:rPr>
              <w:t xml:space="preserve">Average </w:t>
            </w:r>
            <w:r>
              <w:rPr>
                <w:rFonts w:ascii="Arial" w:cs="Arial" w:eastAsia="Arial" w:hAnsi="Arial"/>
                <w:sz w:val="22"/>
                <w:szCs w:val="22"/>
                <w:b w:val="1"/>
                <w:bCs w:val="1"/>
                <w:color w:val="auto"/>
                <w:vertAlign w:val="superscript"/>
              </w:rPr>
              <w:t>(2)</w:t>
            </w:r>
          </w:p>
        </w:tc>
        <w:tc>
          <w:tcPr>
            <w:tcW w:w="1400" w:type="dxa"/>
            <w:vAlign w:val="bottom"/>
            <w:gridSpan w:val="2"/>
          </w:tcPr>
          <w:p>
            <w:pPr>
              <w:ind w:left="280"/>
              <w:spacing w:after="0"/>
              <w:rPr>
                <w:sz w:val="20"/>
                <w:szCs w:val="20"/>
                <w:color w:val="auto"/>
              </w:rPr>
            </w:pPr>
            <w:r>
              <w:rPr>
                <w:rFonts w:ascii="Arial" w:cs="Arial" w:eastAsia="Arial" w:hAnsi="Arial"/>
                <w:sz w:val="17"/>
                <w:szCs w:val="17"/>
                <w:b w:val="1"/>
                <w:bCs w:val="1"/>
                <w:color w:val="auto"/>
              </w:rPr>
              <w:t>Minimum</w:t>
            </w: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Maximum</w:t>
            </w:r>
          </w:p>
        </w:tc>
        <w:tc>
          <w:tcPr>
            <w:tcW w:w="1300" w:type="dxa"/>
            <w:vAlign w:val="bottom"/>
          </w:tcPr>
          <w:p>
            <w:pPr>
              <w:jc w:val="right"/>
              <w:ind w:right="174"/>
              <w:spacing w:after="0" w:line="232" w:lineRule="exact"/>
              <w:rPr>
                <w:sz w:val="20"/>
                <w:szCs w:val="20"/>
                <w:color w:val="auto"/>
              </w:rPr>
            </w:pPr>
            <w:r>
              <w:rPr>
                <w:rFonts w:ascii="Arial" w:cs="Arial" w:eastAsia="Arial" w:hAnsi="Arial"/>
                <w:sz w:val="17"/>
                <w:szCs w:val="17"/>
                <w:b w:val="1"/>
                <w:bCs w:val="1"/>
                <w:color w:val="auto"/>
              </w:rPr>
              <w:t xml:space="preserve">Average </w:t>
            </w:r>
            <w:r>
              <w:rPr>
                <w:rFonts w:ascii="Arial" w:cs="Arial" w:eastAsia="Arial" w:hAnsi="Arial"/>
                <w:sz w:val="22"/>
                <w:szCs w:val="22"/>
                <w:b w:val="1"/>
                <w:bCs w:val="1"/>
                <w:color w:val="auto"/>
                <w:vertAlign w:val="superscript"/>
              </w:rPr>
              <w:t>(2)</w:t>
            </w:r>
          </w:p>
        </w:tc>
      </w:tr>
      <w:tr>
        <w:trPr>
          <w:trHeight w:val="194"/>
        </w:trPr>
        <w:tc>
          <w:tcPr>
            <w:tcW w:w="296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Notes receivable and residual</w:t>
            </w: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3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certificates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18"/>
        </w:trPr>
        <w:tc>
          <w:tcPr>
            <w:tcW w:w="2960" w:type="dxa"/>
            <w:vAlign w:val="bottom"/>
          </w:tcPr>
          <w:p>
            <w:pPr>
              <w:ind w:left="20"/>
              <w:spacing w:after="0"/>
              <w:rPr>
                <w:sz w:val="20"/>
                <w:szCs w:val="20"/>
                <w:color w:val="auto"/>
              </w:rPr>
            </w:pPr>
            <w:r>
              <w:rPr>
                <w:rFonts w:ascii="Arial" w:cs="Arial" w:eastAsia="Arial" w:hAnsi="Arial"/>
                <w:sz w:val="17"/>
                <w:szCs w:val="17"/>
                <w:color w:val="auto"/>
              </w:rPr>
              <w:t>Discount rate</w:t>
            </w:r>
          </w:p>
        </w:tc>
        <w:tc>
          <w:tcPr>
            <w:tcW w:w="1280" w:type="dxa"/>
            <w:vAlign w:val="bottom"/>
          </w:tcPr>
          <w:p>
            <w:pPr>
              <w:jc w:val="right"/>
              <w:spacing w:after="0"/>
              <w:rPr>
                <w:sz w:val="20"/>
                <w:szCs w:val="20"/>
                <w:color w:val="auto"/>
              </w:rPr>
            </w:pPr>
            <w:r>
              <w:rPr>
                <w:rFonts w:ascii="Arial" w:cs="Arial" w:eastAsia="Arial" w:hAnsi="Arial"/>
                <w:sz w:val="17"/>
                <w:szCs w:val="17"/>
                <w:color w:val="auto"/>
              </w:rPr>
              <w:t>8.42 %</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22.27 %</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12.79 %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8.98 %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22.66 %</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12.79 %</w:t>
            </w:r>
          </w:p>
        </w:tc>
      </w:tr>
      <w:tr>
        <w:trPr>
          <w:trHeight w:val="220"/>
        </w:trPr>
        <w:tc>
          <w:tcPr>
            <w:tcW w:w="29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18.21 %</w:t>
            </w:r>
          </w:p>
        </w:tc>
      </w:tr>
      <w:tr>
        <w:trPr>
          <w:trHeight w:val="291"/>
        </w:trPr>
        <w:tc>
          <w:tcPr>
            <w:tcW w:w="2960" w:type="dxa"/>
            <w:vAlign w:val="bottom"/>
          </w:tcPr>
          <w:p>
            <w:pPr>
              <w:ind w:left="20"/>
              <w:spacing w:after="0"/>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7"/>
                <w:szCs w:val="17"/>
                <w:color w:val="auto"/>
              </w:rPr>
              <w:t>10.90 %</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88.73 %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42.66 %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10.90 %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87.53 %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43.13 %</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0" w:lineRule="exact"/>
        <w:rPr>
          <w:sz w:val="20"/>
          <w:szCs w:val="20"/>
          <w:color w:val="auto"/>
        </w:rPr>
      </w:pPr>
    </w:p>
    <w:p>
      <w:pPr>
        <w:ind w:left="460" w:hanging="457"/>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financial instruments</w:t>
      </w:r>
    </w:p>
    <w:p>
      <w:pPr>
        <w:ind w:left="460" w:hanging="457"/>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under a discounted cash flow methodology of 20% would result in a 34% decrease in the fair value of the residual certificates as of March 31, 2023. The remaining classes of securities, with the exception of those in 2018-2, are all overcollateralized such that changes in credit risk rates are not expected to have significant impacts on their fair values.</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1.10% and 1.03% as of December 31, 2022 and March 31, 2023, respectively. On average, a hypothetical 200 basis point increase in discount rates results in a decrease in fair value of securitization notes and residual certificates of 2.18% and 2.05% as of December 31, 2022 and March 31, 2023, respectively.</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fair value of securitization notes and residual certificates are not sensitive to adverse changes in expected prepayment rates as such changes would not result in a significant impact on the fair value as of December 31, 2022 and March 31, 2023.</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tables include a rollforward of the notes receivable and residual certificates related to securitization transactions classified by the Company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14"/>
              <w:spacing w:after="0"/>
              <w:rPr>
                <w:sz w:val="20"/>
                <w:szCs w:val="20"/>
                <w:color w:val="auto"/>
              </w:rPr>
            </w:pPr>
            <w:r>
              <w:rPr>
                <w:rFonts w:ascii="Arial" w:cs="Arial" w:eastAsia="Arial" w:hAnsi="Arial"/>
                <w:sz w:val="17"/>
                <w:szCs w:val="17"/>
                <w:b w:val="1"/>
                <w:bCs w:val="1"/>
                <w:color w:val="auto"/>
                <w:w w:val="93"/>
              </w:rPr>
              <w:t>Notes Receivable and</w:t>
            </w:r>
          </w:p>
        </w:tc>
      </w:tr>
      <w:tr>
        <w:trPr>
          <w:trHeight w:val="228"/>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6"/>
              </w:rPr>
              <w:t>Residual Certificates</w:t>
            </w:r>
          </w:p>
        </w:tc>
      </w:tr>
      <w:tr>
        <w:trPr>
          <w:trHeight w:val="217"/>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8,288</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(2,067)</w:t>
            </w:r>
          </w:p>
        </w:tc>
      </w:tr>
      <w:tr>
        <w:trPr>
          <w:trHeight w:val="22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6,384</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14"/>
              <w:spacing w:after="0"/>
              <w:rPr>
                <w:sz w:val="20"/>
                <w:szCs w:val="20"/>
                <w:color w:val="auto"/>
              </w:rPr>
            </w:pPr>
            <w:r>
              <w:rPr>
                <w:rFonts w:ascii="Arial" w:cs="Arial" w:eastAsia="Arial" w:hAnsi="Arial"/>
                <w:sz w:val="17"/>
                <w:szCs w:val="17"/>
                <w:b w:val="1"/>
                <w:bCs w:val="1"/>
                <w:color w:val="auto"/>
                <w:w w:val="93"/>
              </w:rPr>
              <w:t>Notes Receivable and</w:t>
            </w:r>
          </w:p>
        </w:tc>
      </w:tr>
      <w:tr>
        <w:trPr>
          <w:trHeight w:val="228"/>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6"/>
              </w:rPr>
              <w:t>Residual Certificates</w:t>
            </w:r>
          </w:p>
        </w:tc>
      </w:tr>
      <w:tr>
        <w:trPr>
          <w:trHeight w:val="217"/>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6,181</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(1,566)</w:t>
            </w:r>
          </w:p>
        </w:tc>
      </w:tr>
      <w:tr>
        <w:trPr>
          <w:trHeight w:val="22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b w:val="1"/>
                <w:bCs w:val="1"/>
                <w:color w:val="auto"/>
              </w:rPr>
              <w:t>Fair value at March 31, 2023</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5,009</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Loan Servicing Assets and Liabilities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for loan servicing assets and liabilities: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4"/>
          </w:tcPr>
          <w:p>
            <w:pPr>
              <w:ind w:left="80"/>
              <w:spacing w:after="0"/>
              <w:rPr>
                <w:sz w:val="20"/>
                <w:szCs w:val="20"/>
                <w:color w:val="auto"/>
              </w:rPr>
            </w:pPr>
            <w:r>
              <w:rPr>
                <w:rFonts w:ascii="Arial" w:cs="Arial" w:eastAsia="Arial" w:hAnsi="Arial"/>
                <w:sz w:val="17"/>
                <w:szCs w:val="17"/>
                <w:b w:val="1"/>
                <w:bCs w:val="1"/>
                <w:color w:val="auto"/>
              </w:rPr>
              <w:t>December 31, 2022</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7"/>
                <w:szCs w:val="17"/>
                <w:b w:val="1"/>
                <w:bCs w:val="1"/>
                <w:color w:val="auto"/>
                <w:w w:val="95"/>
              </w:rPr>
              <w:t>March 31, 2023</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0" w:type="dxa"/>
            <w:vAlign w:val="bottom"/>
          </w:tcPr>
          <w:p>
            <w:pPr>
              <w:spacing w:after="0"/>
              <w:rPr>
                <w:sz w:val="1"/>
                <w:szCs w:val="1"/>
                <w:color w:val="auto"/>
              </w:rPr>
            </w:pPr>
          </w:p>
        </w:tc>
      </w:tr>
      <w:tr>
        <w:trPr>
          <w:trHeight w:val="116"/>
        </w:trPr>
        <w:tc>
          <w:tcPr>
            <w:tcW w:w="2740" w:type="dxa"/>
            <w:vAlign w:val="bottom"/>
          </w:tcPr>
          <w:p>
            <w:pPr>
              <w:spacing w:after="0"/>
              <w:rPr>
                <w:sz w:val="10"/>
                <w:szCs w:val="10"/>
                <w:color w:val="auto"/>
              </w:rPr>
            </w:pPr>
          </w:p>
        </w:tc>
        <w:tc>
          <w:tcPr>
            <w:tcW w:w="1340" w:type="dxa"/>
            <w:vAlign w:val="bottom"/>
            <w:gridSpan w:val="2"/>
            <w:vMerge w:val="restart"/>
          </w:tcPr>
          <w:p>
            <w:pPr>
              <w:ind w:left="260"/>
              <w:spacing w:after="0" w:line="167" w:lineRule="exact"/>
              <w:rPr>
                <w:sz w:val="20"/>
                <w:szCs w:val="20"/>
                <w:color w:val="auto"/>
              </w:rPr>
            </w:pPr>
            <w:r>
              <w:rPr>
                <w:rFonts w:ascii="Arial" w:cs="Arial" w:eastAsia="Arial" w:hAnsi="Arial"/>
                <w:sz w:val="17"/>
                <w:szCs w:val="17"/>
                <w:b w:val="1"/>
                <w:bCs w:val="1"/>
                <w:color w:val="auto"/>
              </w:rPr>
              <w:t>Minimum</w:t>
            </w:r>
          </w:p>
        </w:tc>
        <w:tc>
          <w:tcPr>
            <w:tcW w:w="1380" w:type="dxa"/>
            <w:vAlign w:val="bottom"/>
            <w:gridSpan w:val="2"/>
            <w:vMerge w:val="restart"/>
          </w:tcPr>
          <w:p>
            <w:pPr>
              <w:ind w:left="280"/>
              <w:spacing w:after="0" w:line="167" w:lineRule="exact"/>
              <w:rPr>
                <w:sz w:val="20"/>
                <w:szCs w:val="20"/>
                <w:color w:val="auto"/>
              </w:rPr>
            </w:pPr>
            <w:r>
              <w:rPr>
                <w:rFonts w:ascii="Arial" w:cs="Arial" w:eastAsia="Arial" w:hAnsi="Arial"/>
                <w:sz w:val="17"/>
                <w:szCs w:val="17"/>
                <w:b w:val="1"/>
                <w:bCs w:val="1"/>
                <w:color w:val="auto"/>
              </w:rPr>
              <w:t>Maximum</w:t>
            </w:r>
          </w:p>
        </w:tc>
        <w:tc>
          <w:tcPr>
            <w:tcW w:w="1500" w:type="dxa"/>
            <w:vAlign w:val="bottom"/>
          </w:tcPr>
          <w:p>
            <w:pPr>
              <w:jc w:val="right"/>
              <w:ind w:right="599"/>
              <w:spacing w:after="0" w:line="116" w:lineRule="exact"/>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0"/>
                <w:szCs w:val="10"/>
                <w:color w:val="auto"/>
              </w:rPr>
            </w:pPr>
          </w:p>
        </w:tc>
        <w:tc>
          <w:tcPr>
            <w:tcW w:w="1340" w:type="dxa"/>
            <w:vAlign w:val="bottom"/>
            <w:gridSpan w:val="2"/>
            <w:vMerge w:val="restart"/>
          </w:tcPr>
          <w:p>
            <w:pPr>
              <w:ind w:left="260"/>
              <w:spacing w:after="0" w:line="167" w:lineRule="exact"/>
              <w:rPr>
                <w:sz w:val="20"/>
                <w:szCs w:val="20"/>
                <w:color w:val="auto"/>
              </w:rPr>
            </w:pPr>
            <w:r>
              <w:rPr>
                <w:rFonts w:ascii="Arial" w:cs="Arial" w:eastAsia="Arial" w:hAnsi="Arial"/>
                <w:sz w:val="17"/>
                <w:szCs w:val="17"/>
                <w:b w:val="1"/>
                <w:bCs w:val="1"/>
                <w:color w:val="auto"/>
              </w:rPr>
              <w:t>Minimum</w:t>
            </w:r>
          </w:p>
        </w:tc>
        <w:tc>
          <w:tcPr>
            <w:tcW w:w="1380" w:type="dxa"/>
            <w:vAlign w:val="bottom"/>
            <w:gridSpan w:val="2"/>
            <w:vMerge w:val="restart"/>
          </w:tcPr>
          <w:p>
            <w:pPr>
              <w:ind w:left="260"/>
              <w:spacing w:after="0" w:line="167" w:lineRule="exact"/>
              <w:rPr>
                <w:sz w:val="20"/>
                <w:szCs w:val="20"/>
                <w:color w:val="auto"/>
              </w:rPr>
            </w:pPr>
            <w:r>
              <w:rPr>
                <w:rFonts w:ascii="Arial" w:cs="Arial" w:eastAsia="Arial" w:hAnsi="Arial"/>
                <w:sz w:val="17"/>
                <w:szCs w:val="17"/>
                <w:b w:val="1"/>
                <w:bCs w:val="1"/>
                <w:color w:val="auto"/>
              </w:rPr>
              <w:t>Maximum</w:t>
            </w:r>
          </w:p>
        </w:tc>
        <w:tc>
          <w:tcPr>
            <w:tcW w:w="1480" w:type="dxa"/>
            <w:vAlign w:val="bottom"/>
          </w:tcPr>
          <w:p>
            <w:pPr>
              <w:jc w:val="right"/>
              <w:ind w:right="599"/>
              <w:spacing w:after="0" w:line="116" w:lineRule="exact"/>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52"/>
        </w:trPr>
        <w:tc>
          <w:tcPr>
            <w:tcW w:w="27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13.00 %</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20.00 %</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17.20 %</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13.00 %</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17.08 %</w:t>
            </w:r>
          </w:p>
        </w:tc>
        <w:tc>
          <w:tcPr>
            <w:tcW w:w="0" w:type="dxa"/>
            <w:vAlign w:val="bottom"/>
          </w:tcPr>
          <w:p>
            <w:pPr>
              <w:spacing w:after="0"/>
              <w:rPr>
                <w:sz w:val="1"/>
                <w:szCs w:val="1"/>
                <w:color w:val="auto"/>
              </w:rPr>
            </w:pPr>
          </w:p>
        </w:tc>
      </w:tr>
      <w:tr>
        <w:trPr>
          <w:trHeight w:val="219"/>
        </w:trPr>
        <w:tc>
          <w:tcPr>
            <w:tcW w:w="274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7"/>
                <w:szCs w:val="17"/>
                <w:color w:val="auto"/>
              </w:rPr>
              <w:t>0.03 %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91.76 %</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16.22 %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0.04 %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65.36 %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15.73 %</w:t>
            </w:r>
          </w:p>
        </w:tc>
        <w:tc>
          <w:tcPr>
            <w:tcW w:w="0" w:type="dxa"/>
            <w:vAlign w:val="bottom"/>
          </w:tcPr>
          <w:p>
            <w:pPr>
              <w:spacing w:after="0"/>
              <w:rPr>
                <w:sz w:val="1"/>
                <w:szCs w:val="1"/>
                <w:color w:val="auto"/>
              </w:rPr>
            </w:pPr>
          </w:p>
        </w:tc>
      </w:tr>
      <w:tr>
        <w:trPr>
          <w:trHeight w:val="245"/>
        </w:trPr>
        <w:tc>
          <w:tcPr>
            <w:tcW w:w="2740" w:type="dxa"/>
            <w:vAlign w:val="bottom"/>
            <w:shd w:val="clear" w:color="auto" w:fill="CCEEFF"/>
          </w:tcPr>
          <w:p>
            <w:pPr>
              <w:ind w:left="20"/>
              <w:spacing w:after="0" w:line="245" w:lineRule="exact"/>
              <w:rPr>
                <w:sz w:val="20"/>
                <w:szCs w:val="20"/>
                <w:color w:val="auto"/>
              </w:rPr>
            </w:pPr>
            <w:r>
              <w:rPr>
                <w:rFonts w:ascii="Arial" w:cs="Arial" w:eastAsia="Arial" w:hAnsi="Arial"/>
                <w:sz w:val="17"/>
                <w:szCs w:val="17"/>
                <w:color w:val="auto"/>
              </w:rPr>
              <w:t xml:space="preserve">Market-servicing rate </w:t>
            </w:r>
            <w:r>
              <w:rPr>
                <w:rFonts w:ascii="Arial" w:cs="Arial" w:eastAsia="Arial" w:hAnsi="Arial"/>
                <w:sz w:val="22"/>
                <w:szCs w:val="22"/>
                <w:color w:val="auto"/>
                <w:vertAlign w:val="superscript"/>
              </w:rPr>
              <w:t>(3)(4)(5)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3.72 %</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3.72 %</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0" w:type="dxa"/>
            <w:vAlign w:val="bottom"/>
          </w:tcPr>
          <w:p>
            <w:pPr>
              <w:spacing w:after="0"/>
              <w:rPr>
                <w:sz w:val="1"/>
                <w:szCs w:val="1"/>
                <w:color w:val="auto"/>
              </w:rPr>
            </w:pPr>
          </w:p>
        </w:tc>
      </w:tr>
      <w:tr>
        <w:trPr>
          <w:trHeight w:val="291"/>
        </w:trPr>
        <w:tc>
          <w:tcPr>
            <w:tcW w:w="2740" w:type="dxa"/>
            <w:vAlign w:val="bottom"/>
          </w:tcPr>
          <w:p>
            <w:pPr>
              <w:ind w:left="20"/>
              <w:spacing w:after="0"/>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7"/>
                <w:szCs w:val="17"/>
                <w:color w:val="auto"/>
              </w:rPr>
              <w:t>0.53 %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91.99 %</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41.19 %</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4.62 %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96.90 %</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41.50 %</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_________</w:t>
      </w:r>
    </w:p>
    <w:p>
      <w:pPr>
        <w:spacing w:after="0" w:line="10" w:lineRule="exact"/>
        <w:rPr>
          <w:sz w:val="20"/>
          <w:szCs w:val="20"/>
          <w:color w:val="auto"/>
        </w:rPr>
      </w:pPr>
    </w:p>
    <w:p>
      <w:pPr>
        <w:ind w:left="460" w:hanging="457"/>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servicing arrangement</w:t>
      </w:r>
    </w:p>
    <w:p>
      <w:pPr>
        <w:spacing w:after="0" w:line="1" w:lineRule="exact"/>
        <w:rPr>
          <w:rFonts w:ascii="Arial" w:cs="Arial" w:eastAsia="Arial" w:hAnsi="Arial"/>
          <w:sz w:val="14"/>
          <w:szCs w:val="14"/>
          <w:color w:val="auto"/>
        </w:rPr>
      </w:pPr>
    </w:p>
    <w:p>
      <w:pPr>
        <w:ind w:left="460" w:hanging="457"/>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6" w:lineRule="exact"/>
        <w:rPr>
          <w:rFonts w:ascii="Arial" w:cs="Arial" w:eastAsia="Arial" w:hAnsi="Arial"/>
          <w:sz w:val="14"/>
          <w:szCs w:val="14"/>
          <w:color w:val="auto"/>
        </w:rPr>
      </w:pPr>
    </w:p>
    <w:p>
      <w:pPr>
        <w:ind w:left="460" w:hanging="457"/>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ancillary fees that would be passed on to a third-party servicer</w:t>
      </w:r>
    </w:p>
    <w:p>
      <w:pPr>
        <w:spacing w:after="0" w:line="6" w:lineRule="exact"/>
        <w:rPr>
          <w:rFonts w:ascii="Arial" w:cs="Arial" w:eastAsia="Arial" w:hAnsi="Arial"/>
          <w:sz w:val="14"/>
          <w:szCs w:val="14"/>
          <w:color w:val="auto"/>
        </w:rPr>
      </w:pPr>
    </w:p>
    <w:p>
      <w:pPr>
        <w:ind w:left="460" w:hanging="457"/>
        <w:spacing w:after="0" w:line="238"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Expressed as a percentage of the outstanding principal balance of the loan</w:t>
      </w:r>
    </w:p>
    <w:p>
      <w:pPr>
        <w:ind w:left="460" w:hanging="457"/>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personal loans and auto loans</w:t>
      </w:r>
    </w:p>
    <w:p>
      <w:pPr>
        <w:spacing w:after="0" w:line="23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i w:val="1"/>
          <w:iCs w:val="1"/>
          <w:color w:val="auto"/>
        </w:rPr>
        <w:t>Discount rates</w:t>
      </w:r>
      <w:r>
        <w:rPr>
          <w:rFonts w:ascii="Arial" w:cs="Arial" w:eastAsia="Arial" w:hAnsi="Arial"/>
          <w:sz w:val="17"/>
          <w:szCs w:val="17"/>
          <w:color w:val="auto"/>
        </w:rPr>
        <w:t>–The discount rates are the Company’s estimate of the rates of return that market participants would require when investing in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rights. Discount rates for servicing rights on existing loans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to reflect the time value of money and a risk premium intended to reflect the amount of compensation market participants would require due to the uncertainty associated with these instruments’ cash flows.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Credit risk rate</w:t>
      </w:r>
      <w:r>
        <w:rPr>
          <w:rFonts w:ascii="Arial" w:cs="Arial" w:eastAsia="Arial" w:hAnsi="Arial"/>
          <w:sz w:val="17"/>
          <w:szCs w:val="17"/>
          <w:color w:val="auto"/>
        </w:rPr>
        <w:t>s–The credit risk rates are the Company’s estimate of the net cumulative principal payments that will not be repaid over the entire life of a</w:t>
      </w:r>
      <w:r>
        <w:rPr>
          <w:rFonts w:ascii="Arial" w:cs="Arial" w:eastAsia="Arial" w:hAnsi="Arial"/>
          <w:sz w:val="17"/>
          <w:szCs w:val="17"/>
          <w:i w:val="1"/>
          <w:iCs w:val="1"/>
          <w:color w:val="auto"/>
        </w:rPr>
        <w:t xml:space="preserve"> </w:t>
      </w:r>
      <w:r>
        <w:rPr>
          <w:rFonts w:ascii="Arial" w:cs="Arial" w:eastAsia="Arial" w:hAnsi="Arial"/>
          <w:sz w:val="17"/>
          <w:szCs w:val="17"/>
          <w:color w:val="auto"/>
        </w:rPr>
        <w:t>loan expressed as a percentage of the original principal amount of the loan. The assumption regarding net cumulative losses impact the projected balances and expected terms of the loans, which are used to project future servicing revenues.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Market-servicing rates</w:t>
      </w:r>
      <w:r>
        <w:rPr>
          <w:rFonts w:ascii="Arial" w:cs="Arial" w:eastAsia="Arial" w:hAnsi="Arial"/>
          <w:sz w:val="17"/>
          <w:szCs w:val="17"/>
          <w:color w:val="auto"/>
        </w:rPr>
        <w:t>–Market-servicing rate is an estimated measure of adequate compensation for a market participant, if one was required. The rate is</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Prepayment rates</w:t>
      </w:r>
      <w:r>
        <w:rPr>
          <w:rFonts w:ascii="Arial" w:cs="Arial" w:eastAsia="Arial" w:hAnsi="Arial"/>
          <w:sz w:val="17"/>
          <w:szCs w:val="17"/>
          <w:color w:val="auto"/>
        </w:rPr>
        <w:t>–Prepayment rates are the Company’s estimate of the cumulative principal prepayments that will occur over the entire life of a loan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the original principal amount of the loan. The assumption regarding cumulative prepayments impact the projected balances and expected terms of the loans, which are used to project future servicing revenues.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table below presents the fair value sensitivity of loan servicing assets and liabilities to adverse changes in key assumptions. The fair value of loan servicing assets and liabilities is not sensitive to adverse changes in discount rates and prepayment rates as such changes would not result in a significant impact on the fair value as of December 31, 2022 and March 31, 2023,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of loan servicing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36,467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34,650</w:t>
            </w:r>
          </w:p>
        </w:tc>
      </w:tr>
      <w:tr>
        <w:trPr>
          <w:trHeight w:val="198"/>
        </w:trPr>
        <w:tc>
          <w:tcPr>
            <w:tcW w:w="7880" w:type="dxa"/>
            <w:vAlign w:val="bottom"/>
          </w:tcPr>
          <w:p>
            <w:pPr>
              <w:ind w:left="20"/>
              <w:spacing w:after="0"/>
              <w:rPr>
                <w:sz w:val="20"/>
                <w:szCs w:val="20"/>
                <w:color w:val="auto"/>
              </w:rPr>
            </w:pPr>
            <w:r>
              <w:rPr>
                <w:rFonts w:ascii="Arial" w:cs="Arial" w:eastAsia="Arial" w:hAnsi="Arial"/>
                <w:sz w:val="17"/>
                <w:szCs w:val="17"/>
                <w:color w:val="auto"/>
              </w:rPr>
              <w:t>Expected market-servicing rates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 market-servicing rates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(9,090)</w:t>
            </w: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20% market-servicing rates increase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(19,950)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(18,508)</w:t>
            </w: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26"/>
        </w:trPr>
        <w:tc>
          <w:tcPr>
            <w:tcW w:w="7880" w:type="dxa"/>
            <w:vAlign w:val="bottom"/>
            <w:shd w:val="clear" w:color="auto" w:fill="CCEEFF"/>
          </w:tcPr>
          <w:p>
            <w:pPr>
              <w:jc w:val="right"/>
              <w:ind w:right="5074"/>
              <w:spacing w:after="0"/>
              <w:rPr>
                <w:sz w:val="20"/>
                <w:szCs w:val="20"/>
                <w:color w:val="auto"/>
              </w:rPr>
            </w:pPr>
            <w:r>
              <w:rPr>
                <w:rFonts w:ascii="Arial" w:cs="Arial" w:eastAsia="Arial" w:hAnsi="Arial"/>
                <w:sz w:val="17"/>
                <w:szCs w:val="17"/>
                <w:b w:val="1"/>
                <w:bCs w:val="1"/>
                <w:color w:val="auto"/>
                <w:w w:val="90"/>
              </w:rPr>
              <w:t>Fair value of loan servicing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3,142</w:t>
            </w:r>
          </w:p>
        </w:tc>
      </w:tr>
      <w:tr>
        <w:trPr>
          <w:trHeight w:val="218"/>
        </w:trPr>
        <w:tc>
          <w:tcPr>
            <w:tcW w:w="7880" w:type="dxa"/>
            <w:vAlign w:val="bottom"/>
          </w:tcPr>
          <w:p>
            <w:pPr>
              <w:jc w:val="right"/>
              <w:ind w:right="5554"/>
              <w:spacing w:after="0"/>
              <w:rPr>
                <w:sz w:val="20"/>
                <w:szCs w:val="20"/>
                <w:color w:val="auto"/>
              </w:rPr>
            </w:pPr>
            <w:r>
              <w:rPr>
                <w:rFonts w:ascii="Arial" w:cs="Arial" w:eastAsia="Arial" w:hAnsi="Arial"/>
                <w:sz w:val="17"/>
                <w:szCs w:val="17"/>
                <w:color w:val="auto"/>
                <w:w w:val="91"/>
              </w:rPr>
              <w:t>Expected market-servicing rates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6"/>
        </w:trPr>
        <w:tc>
          <w:tcPr>
            <w:tcW w:w="7880" w:type="dxa"/>
            <w:vAlign w:val="bottom"/>
            <w:shd w:val="clear" w:color="auto" w:fill="CCEEFF"/>
          </w:tcPr>
          <w:p>
            <w:pPr>
              <w:jc w:val="right"/>
              <w:ind w:right="5074"/>
              <w:spacing w:after="0"/>
              <w:rPr>
                <w:sz w:val="20"/>
                <w:szCs w:val="20"/>
                <w:color w:val="auto"/>
              </w:rPr>
            </w:pPr>
            <w:r>
              <w:rPr>
                <w:rFonts w:ascii="Arial" w:cs="Arial" w:eastAsia="Arial" w:hAnsi="Arial"/>
                <w:sz w:val="17"/>
                <w:szCs w:val="17"/>
                <w:color w:val="auto"/>
                <w:w w:val="98"/>
              </w:rPr>
              <w:t>10% market-servicing rates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w:t>
            </w:r>
          </w:p>
        </w:tc>
      </w:tr>
      <w:tr>
        <w:trPr>
          <w:trHeight w:val="218"/>
        </w:trPr>
        <w:tc>
          <w:tcPr>
            <w:tcW w:w="7880" w:type="dxa"/>
            <w:vAlign w:val="bottom"/>
          </w:tcPr>
          <w:p>
            <w:pPr>
              <w:jc w:val="right"/>
              <w:ind w:right="5074"/>
              <w:spacing w:after="0"/>
              <w:rPr>
                <w:sz w:val="20"/>
                <w:szCs w:val="20"/>
                <w:color w:val="auto"/>
              </w:rPr>
            </w:pPr>
            <w:r>
              <w:rPr>
                <w:rFonts w:ascii="Arial" w:cs="Arial" w:eastAsia="Arial" w:hAnsi="Arial"/>
                <w:sz w:val="17"/>
                <w:szCs w:val="17"/>
                <w:color w:val="auto"/>
                <w:w w:val="98"/>
              </w:rPr>
              <w:t>20% market-servicing rates increase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3,821</w:t>
            </w:r>
          </w:p>
        </w:tc>
      </w:tr>
    </w:tbl>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present a rollforward of the loan servicing assets and liabilities classified by the Company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Arial" w:cs="Arial" w:eastAsia="Arial" w:hAnsi="Arial"/>
                <w:sz w:val="17"/>
                <w:szCs w:val="17"/>
                <w:b w:val="1"/>
                <w:bCs w:val="1"/>
                <w:color w:val="auto"/>
              </w:rPr>
              <w:t>Loan Servicing</w:t>
            </w:r>
          </w:p>
        </w:tc>
        <w:tc>
          <w:tcPr>
            <w:tcW w:w="200" w:type="dxa"/>
            <w:vAlign w:val="bottom"/>
          </w:tcPr>
          <w:p>
            <w:pPr>
              <w:spacing w:after="0"/>
              <w:rPr>
                <w:sz w:val="16"/>
                <w:szCs w:val="16"/>
                <w:color w:val="auto"/>
              </w:rPr>
            </w:pPr>
          </w:p>
        </w:tc>
        <w:tc>
          <w:tcPr>
            <w:tcW w:w="144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Loan Servicing</w:t>
            </w:r>
          </w:p>
        </w:tc>
      </w:tr>
      <w:tr>
        <w:trPr>
          <w:trHeight w:val="224"/>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400"/>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19"/>
                <w:szCs w:val="19"/>
                <w:color w:val="auto"/>
              </w:rPr>
            </w:pPr>
          </w:p>
        </w:tc>
        <w:tc>
          <w:tcPr>
            <w:tcW w:w="1440" w:type="dxa"/>
            <w:vAlign w:val="bottom"/>
          </w:tcPr>
          <w:p>
            <w:pPr>
              <w:jc w:val="center"/>
              <w:ind w:right="94"/>
              <w:spacing w:after="0"/>
              <w:rPr>
                <w:sz w:val="20"/>
                <w:szCs w:val="20"/>
                <w:color w:val="auto"/>
              </w:rPr>
            </w:pPr>
            <w:r>
              <w:rPr>
                <w:rFonts w:ascii="Arial" w:cs="Arial" w:eastAsia="Arial" w:hAnsi="Arial"/>
                <w:sz w:val="17"/>
                <w:szCs w:val="17"/>
                <w:b w:val="1"/>
                <w:bCs w:val="1"/>
                <w:color w:val="auto"/>
                <w:w w:val="94"/>
              </w:rPr>
              <w:t>Liabilities</w:t>
            </w:r>
          </w:p>
        </w:tc>
      </w:tr>
      <w:tr>
        <w:trPr>
          <w:trHeight w:val="213"/>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w w:val="99"/>
              </w:rPr>
              <w:t>18,388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center"/>
              <w:ind w:left="834"/>
              <w:spacing w:after="0"/>
              <w:rPr>
                <w:sz w:val="20"/>
                <w:szCs w:val="20"/>
                <w:color w:val="auto"/>
              </w:rPr>
            </w:pPr>
            <w:r>
              <w:rPr>
                <w:rFonts w:ascii="Arial" w:cs="Arial" w:eastAsia="Arial" w:hAnsi="Arial"/>
                <w:sz w:val="17"/>
                <w:szCs w:val="17"/>
                <w:color w:val="auto"/>
                <w:w w:val="93"/>
              </w:rPr>
              <w:t>8,780</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ind w:left="920"/>
              <w:spacing w:after="0"/>
              <w:rPr>
                <w:sz w:val="20"/>
                <w:szCs w:val="20"/>
                <w:color w:val="auto"/>
              </w:rPr>
            </w:pPr>
            <w:r>
              <w:rPr>
                <w:rFonts w:ascii="Arial" w:cs="Arial" w:eastAsia="Arial" w:hAnsi="Arial"/>
                <w:sz w:val="17"/>
                <w:szCs w:val="17"/>
                <w:color w:val="auto"/>
                <w:w w:val="99"/>
              </w:rPr>
              <w:t>10,610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834"/>
              <w:spacing w:after="0"/>
              <w:rPr>
                <w:sz w:val="20"/>
                <w:szCs w:val="20"/>
                <w:color w:val="auto"/>
              </w:rPr>
            </w:pPr>
            <w:r>
              <w:rPr>
                <w:rFonts w:ascii="Arial" w:cs="Arial" w:eastAsia="Arial" w:hAnsi="Arial"/>
                <w:sz w:val="17"/>
                <w:szCs w:val="17"/>
                <w:color w:val="auto"/>
                <w:w w:val="93"/>
              </w:rPr>
              <w:t>1,905</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w w:val="92"/>
              </w:rPr>
              <w:t>(1,038)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814"/>
              <w:spacing w:after="0"/>
              <w:rPr>
                <w:sz w:val="20"/>
                <w:szCs w:val="20"/>
                <w:color w:val="auto"/>
              </w:rPr>
            </w:pPr>
            <w:r>
              <w:rPr>
                <w:rFonts w:ascii="Arial" w:cs="Arial" w:eastAsia="Arial" w:hAnsi="Arial"/>
                <w:sz w:val="17"/>
                <w:szCs w:val="17"/>
                <w:color w:val="auto"/>
                <w:w w:val="92"/>
              </w:rPr>
              <w:t>(2,395)</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9"/>
              </w:rPr>
              <w:t>27,960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center"/>
              <w:ind w:left="834"/>
              <w:spacing w:after="0"/>
              <w:rPr>
                <w:sz w:val="20"/>
                <w:szCs w:val="20"/>
                <w:color w:val="auto"/>
              </w:rPr>
            </w:pPr>
            <w:r>
              <w:rPr>
                <w:rFonts w:ascii="Arial" w:cs="Arial" w:eastAsia="Arial" w:hAnsi="Arial"/>
                <w:sz w:val="17"/>
                <w:szCs w:val="17"/>
                <w:color w:val="auto"/>
                <w:w w:val="93"/>
              </w:rPr>
              <w:t>8,290</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Loan Servicing</w:t>
            </w:r>
          </w:p>
        </w:tc>
        <w:tc>
          <w:tcPr>
            <w:tcW w:w="200" w:type="dxa"/>
            <w:vAlign w:val="bottom"/>
          </w:tcPr>
          <w:p>
            <w:pPr>
              <w:spacing w:after="0"/>
              <w:rPr>
                <w:sz w:val="16"/>
                <w:szCs w:val="16"/>
                <w:color w:val="auto"/>
              </w:rPr>
            </w:pPr>
          </w:p>
        </w:tc>
        <w:tc>
          <w:tcPr>
            <w:tcW w:w="14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Loan Servicing</w:t>
            </w:r>
          </w:p>
        </w:tc>
      </w:tr>
      <w:tr>
        <w:trPr>
          <w:trHeight w:val="228"/>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78"/>
              </w:rPr>
              <w:t>Assets</w:t>
            </w:r>
          </w:p>
        </w:tc>
        <w:tc>
          <w:tcPr>
            <w:tcW w:w="200" w:type="dxa"/>
            <w:vAlign w:val="bottom"/>
          </w:tcPr>
          <w:p>
            <w:pPr>
              <w:spacing w:after="0"/>
              <w:rPr>
                <w:sz w:val="19"/>
                <w:szCs w:val="19"/>
                <w:color w:val="auto"/>
              </w:rPr>
            </w:pPr>
          </w:p>
        </w:tc>
        <w:tc>
          <w:tcPr>
            <w:tcW w:w="1440" w:type="dxa"/>
            <w:vAlign w:val="bottom"/>
          </w:tcPr>
          <w:p>
            <w:pPr>
              <w:jc w:val="right"/>
              <w:ind w:right="354"/>
              <w:spacing w:after="0"/>
              <w:rPr>
                <w:sz w:val="20"/>
                <w:szCs w:val="20"/>
                <w:color w:val="auto"/>
              </w:rPr>
            </w:pPr>
            <w:r>
              <w:rPr>
                <w:rFonts w:ascii="Arial" w:cs="Arial" w:eastAsia="Arial" w:hAnsi="Arial"/>
                <w:sz w:val="17"/>
                <w:szCs w:val="17"/>
                <w:b w:val="1"/>
                <w:bCs w:val="1"/>
                <w:color w:val="auto"/>
              </w:rPr>
              <w:t>Liabilities</w:t>
            </w:r>
          </w:p>
        </w:tc>
      </w:tr>
      <w:tr>
        <w:trPr>
          <w:trHeight w:val="217"/>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36,467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3,968</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3,662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Fair value at March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34,650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3,142</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Trailing Fee Liabilities</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6.36% to 22.28% and credit risk rates of 0.01% to 93.09% as of December 31, 2022 and discount rates of 6.36% to 22.67% and credit risk rates of 0.01% to 93.05% as of March 31, 2023.</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fair value sensitivity of trailing fee liabilities to adverse changes in key assumptions would not result in a material impact on the Company’s financial position of the results of operations.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include a rollforward of trailing fee liabilities classified by the Company within Level 3 of the fair value hierarchy:</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47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3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Repayments and settlements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Changes in fair value recorded in earnings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138670" cy="163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Trailing Fee</w:t>
      </w:r>
    </w:p>
    <w:p>
      <w:pPr>
        <w:spacing w:after="0" w:line="5"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Liabilities</w:t>
      </w:r>
    </w:p>
    <w:p>
      <w:pPr>
        <w:spacing w:after="0" w:line="23" w:lineRule="exact"/>
        <w:rPr>
          <w:sz w:val="20"/>
          <w:szCs w:val="20"/>
          <w:color w:val="auto"/>
        </w:rPr>
      </w:pPr>
    </w:p>
    <w:p>
      <w:pPr>
        <w:ind w:left="1155" w:hanging="1155"/>
        <w:spacing w:after="0"/>
        <w:tabs>
          <w:tab w:leader="none" w:pos="11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4,315</w:t>
      </w:r>
    </w:p>
    <w:p>
      <w:pPr>
        <w:spacing w:after="0" w:line="36" w:lineRule="exact"/>
        <w:rPr>
          <w:rFonts w:ascii="Arial" w:cs="Arial" w:eastAsia="Arial" w:hAnsi="Arial"/>
          <w:sz w:val="17"/>
          <w:szCs w:val="17"/>
          <w:color w:val="auto"/>
        </w:rPr>
      </w:pPr>
    </w:p>
    <w:p>
      <w:pPr>
        <w:ind w:left="1155"/>
        <w:spacing w:after="0"/>
        <w:rPr>
          <w:rFonts w:ascii="Arial" w:cs="Arial" w:eastAsia="Arial" w:hAnsi="Arial"/>
          <w:sz w:val="17"/>
          <w:szCs w:val="17"/>
          <w:color w:val="auto"/>
        </w:rPr>
      </w:pPr>
      <w:r>
        <w:rPr>
          <w:rFonts w:ascii="Arial" w:cs="Arial" w:eastAsia="Arial" w:hAnsi="Arial"/>
          <w:sz w:val="17"/>
          <w:szCs w:val="17"/>
          <w:color w:val="auto"/>
        </w:rPr>
        <w:t>1,667</w:t>
      </w:r>
    </w:p>
    <w:p>
      <w:pPr>
        <w:spacing w:after="0" w:line="23" w:lineRule="exact"/>
        <w:rPr>
          <w:rFonts w:ascii="Arial" w:cs="Arial" w:eastAsia="Arial" w:hAnsi="Arial"/>
          <w:sz w:val="17"/>
          <w:szCs w:val="17"/>
          <w:color w:val="auto"/>
        </w:rPr>
      </w:pPr>
    </w:p>
    <w:p>
      <w:pPr>
        <w:ind w:left="1215"/>
        <w:spacing w:after="0"/>
        <w:rPr>
          <w:rFonts w:ascii="Arial" w:cs="Arial" w:eastAsia="Arial" w:hAnsi="Arial"/>
          <w:sz w:val="17"/>
          <w:szCs w:val="17"/>
          <w:color w:val="auto"/>
        </w:rPr>
      </w:pPr>
      <w:r>
        <w:rPr>
          <w:rFonts w:ascii="Arial" w:cs="Arial" w:eastAsia="Arial" w:hAnsi="Arial"/>
          <w:sz w:val="16"/>
          <w:szCs w:val="16"/>
          <w:color w:val="auto"/>
        </w:rPr>
        <w:t>(629)</w:t>
      </w:r>
    </w:p>
    <w:p>
      <w:pPr>
        <w:spacing w:after="0" w:line="35" w:lineRule="exact"/>
        <w:rPr>
          <w:rFonts w:ascii="Arial" w:cs="Arial" w:eastAsia="Arial" w:hAnsi="Arial"/>
          <w:sz w:val="17"/>
          <w:szCs w:val="17"/>
          <w:color w:val="auto"/>
        </w:rPr>
      </w:pPr>
    </w:p>
    <w:p>
      <w:pPr>
        <w:ind w:left="1235"/>
        <w:spacing w:after="0"/>
        <w:rPr>
          <w:rFonts w:ascii="Arial" w:cs="Arial" w:eastAsia="Arial" w:hAnsi="Arial"/>
          <w:sz w:val="17"/>
          <w:szCs w:val="17"/>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-395605</wp:posOffset>
            </wp:positionV>
            <wp:extent cx="10394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40" w:lineRule="exact"/>
        <w:rPr>
          <w:sz w:val="20"/>
          <w:szCs w:val="20"/>
          <w:color w:val="auto"/>
        </w:rPr>
      </w:pPr>
    </w:p>
    <w:p>
      <w:pPr>
        <w:ind w:left="1155" w:hanging="1155"/>
        <w:spacing w:after="0"/>
        <w:tabs>
          <w:tab w:leader="none" w:pos="11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5,241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39370</wp:posOffset>
            </wp:positionV>
            <wp:extent cx="10394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05" w:space="720"/>
            <w:col w:w="1615"/>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color w:val="0000FF"/>
        </w:rPr>
        <w:t>Table of Contents</w:t>
      </w:r>
    </w:p>
    <w:tbl>
      <w:tblPr>
        <w:tblLayout w:type="fixed"/>
        <w:tblInd w:w="0" w:type="dxa"/>
        <w:tblCellMar>
          <w:top w:w="0" w:type="dxa"/>
          <w:left w:w="0" w:type="dxa"/>
          <w:bottom w:w="0" w:type="dxa"/>
          <w:right w:w="0" w:type="dxa"/>
        </w:tblCellMar>
      </w:tblPr>
      <w:tr>
        <w:trPr>
          <w:trHeight w:val="243"/>
        </w:trPr>
        <w:tc>
          <w:tcPr>
            <w:tcW w:w="1220" w:type="dxa"/>
            <w:vAlign w:val="bottom"/>
            <w:tcBorders>
              <w:top w:val="single" w:sz="8" w:color="0000FF"/>
            </w:tcBorders>
          </w:tcPr>
          <w:p>
            <w:pPr>
              <w:spacing w:after="0"/>
              <w:rPr>
                <w:sz w:val="21"/>
                <w:szCs w:val="21"/>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b w:val="1"/>
                <w:bCs w:val="1"/>
                <w:color w:val="auto"/>
                <w:w w:val="93"/>
              </w:rPr>
              <w:t>Upstart Holdings, Inc.</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5"/>
        </w:trPr>
        <w:tc>
          <w:tcPr>
            <w:tcW w:w="1220" w:type="dxa"/>
            <w:vAlign w:val="bottom"/>
          </w:tcPr>
          <w:p>
            <w:pPr>
              <w:spacing w:after="0"/>
              <w:rPr>
                <w:sz w:val="19"/>
                <w:szCs w:val="19"/>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b w:val="1"/>
                <w:bCs w:val="1"/>
                <w:color w:val="auto"/>
                <w:w w:val="89"/>
              </w:rPr>
              <w:t>Notes to Condensed Consolidated Financial Statements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8"/>
        </w:trPr>
        <w:tc>
          <w:tcPr>
            <w:tcW w:w="1220" w:type="dxa"/>
            <w:vAlign w:val="bottom"/>
          </w:tcPr>
          <w:p>
            <w:pPr>
              <w:spacing w:after="0"/>
              <w:rPr>
                <w:sz w:val="22"/>
                <w:szCs w:val="22"/>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color w:val="auto"/>
                <w:w w:val="90"/>
              </w:rPr>
              <w:t>(Tabular Amounts in Thousands, Except Share and Per Share Data and Ratios, or as Noted)</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5"/>
        </w:trPr>
        <w:tc>
          <w:tcPr>
            <w:tcW w:w="1220" w:type="dxa"/>
            <w:vAlign w:val="bottom"/>
          </w:tcPr>
          <w:p>
            <w:pPr>
              <w:spacing w:after="0"/>
              <w:rPr>
                <w:sz w:val="21"/>
                <w:szCs w:val="21"/>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color w:val="auto"/>
                <w:w w:val="94"/>
              </w:rPr>
              <w:t>(Unaudited)</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659"/>
        </w:trPr>
        <w:tc>
          <w:tcPr>
            <w:tcW w:w="12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274"/>
              <w:spacing w:after="0"/>
              <w:rPr>
                <w:sz w:val="20"/>
                <w:szCs w:val="20"/>
                <w:color w:val="auto"/>
              </w:rPr>
            </w:pPr>
            <w:r>
              <w:rPr>
                <w:rFonts w:ascii="Arial" w:cs="Arial" w:eastAsia="Arial" w:hAnsi="Arial"/>
                <w:sz w:val="17"/>
                <w:szCs w:val="17"/>
                <w:b w:val="1"/>
                <w:bCs w:val="1"/>
                <w:color w:val="auto"/>
              </w:rPr>
              <w:t>Trailing Fee</w:t>
            </w:r>
          </w:p>
        </w:tc>
      </w:tr>
      <w:tr>
        <w:trPr>
          <w:trHeight w:val="228"/>
        </w:trPr>
        <w:tc>
          <w:tcPr>
            <w:tcW w:w="12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Liabilities</w:t>
            </w:r>
          </w:p>
        </w:tc>
      </w:tr>
      <w:tr>
        <w:trPr>
          <w:trHeight w:val="217"/>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2022</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4,852</w:t>
            </w:r>
          </w:p>
        </w:tc>
      </w:tr>
      <w:tr>
        <w:trPr>
          <w:trHeight w:val="224"/>
        </w:trPr>
        <w:tc>
          <w:tcPr>
            <w:tcW w:w="9600" w:type="dxa"/>
            <w:vAlign w:val="bottom"/>
            <w:gridSpan w:val="2"/>
          </w:tcPr>
          <w:p>
            <w:pPr>
              <w:ind w:left="20"/>
              <w:spacing w:after="0"/>
              <w:rPr>
                <w:sz w:val="20"/>
                <w:szCs w:val="20"/>
                <w:color w:val="auto"/>
              </w:rPr>
            </w:pPr>
            <w:r>
              <w:rPr>
                <w:rFonts w:ascii="Arial" w:cs="Arial" w:eastAsia="Arial" w:hAnsi="Arial"/>
                <w:sz w:val="17"/>
                <w:szCs w:val="17"/>
                <w:color w:val="auto"/>
              </w:rPr>
              <w:t>Issuances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318</w:t>
            </w:r>
          </w:p>
        </w:tc>
      </w:tr>
      <w:tr>
        <w:trPr>
          <w:trHeight w:val="220"/>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Repayments and settlements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r>
      <w:tr>
        <w:trPr>
          <w:trHeight w:val="218"/>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37"/>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2023</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4,449</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5"/>
          <w:szCs w:val="15"/>
          <w:b w:val="1"/>
          <w:bCs w:val="1"/>
          <w:color w:val="auto"/>
        </w:rPr>
        <w:t>Goodwill and Intangible Assets</w:t>
      </w:r>
    </w:p>
    <w:p>
      <w:pPr>
        <w:spacing w:after="0" w:line="36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Goodwill</w:t>
      </w:r>
    </w:p>
    <w:p>
      <w:pPr>
        <w:spacing w:after="0" w:line="243"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During the three months ended March 31, 2023, there were no changes in the carrying amount of goodwill of $67.1 million on the Company’s condensed consolidated balance sheets.</w:t>
      </w:r>
    </w:p>
    <w:p>
      <w:pPr>
        <w:spacing w:after="0" w:line="30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43"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Acquired intangible assets subject to amortization consist of developed technology and customer relationships, and are recorded net of amortization on the condensed consolidated balance sheets. The gross and net carrying values and accumulated amortization are as follows:</w:t>
      </w:r>
    </w:p>
    <w:p>
      <w:pPr>
        <w:spacing w:after="0" w:line="190" w:lineRule="exact"/>
        <w:rPr>
          <w:sz w:val="20"/>
          <w:szCs w:val="20"/>
          <w:color w:val="auto"/>
        </w:rPr>
      </w:pPr>
    </w:p>
    <w:tbl>
      <w:tblPr>
        <w:tblLayout w:type="fixed"/>
        <w:tblInd w:w="620" w:type="dxa"/>
        <w:tblCellMar>
          <w:top w:w="0" w:type="dxa"/>
          <w:left w:w="0" w:type="dxa"/>
          <w:bottom w:w="0" w:type="dxa"/>
          <w:right w:w="0" w:type="dxa"/>
        </w:tblCellMar>
      </w:tblPr>
      <w:tr>
        <w:trPr>
          <w:trHeight w:val="217"/>
        </w:trPr>
        <w:tc>
          <w:tcPr>
            <w:tcW w:w="7800" w:type="dxa"/>
            <w:vAlign w:val="bottom"/>
          </w:tcPr>
          <w:p>
            <w:pPr>
              <w:spacing w:after="0"/>
              <w:rPr>
                <w:sz w:val="20"/>
                <w:szCs w:val="20"/>
                <w:color w:val="auto"/>
              </w:rPr>
            </w:pPr>
            <w:r>
              <w:rPr>
                <w:rFonts w:ascii="Arial" w:cs="Arial" w:eastAsia="Arial" w:hAnsi="Arial"/>
                <w:sz w:val="17"/>
                <w:szCs w:val="17"/>
                <w:b w:val="1"/>
                <w:bCs w:val="1"/>
                <w:i w:val="1"/>
                <w:iCs w:val="1"/>
                <w:color w:val="auto"/>
              </w:rPr>
              <w:t>Developed Technology</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7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2022</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March 31, 2</w:t>
            </w:r>
          </w:p>
        </w:tc>
        <w:tc>
          <w:tcPr>
            <w:tcW w:w="0" w:type="dxa"/>
            <w:vAlign w:val="bottom"/>
          </w:tcPr>
          <w:p>
            <w:pPr>
              <w:spacing w:after="0"/>
              <w:rPr>
                <w:sz w:val="1"/>
                <w:szCs w:val="1"/>
                <w:color w:val="auto"/>
              </w:rPr>
            </w:pPr>
          </w:p>
        </w:tc>
      </w:tr>
      <w:tr>
        <w:trPr>
          <w:trHeight w:val="21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carrying amount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(5,483)</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Weighted-Average Remaining Useful Life (Years)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9"/>
        </w:trPr>
        <w:tc>
          <w:tcPr>
            <w:tcW w:w="7800" w:type="dxa"/>
            <w:vAlign w:val="bottom"/>
          </w:tcPr>
          <w:p>
            <w:pPr>
              <w:spacing w:after="0"/>
              <w:rPr>
                <w:sz w:val="20"/>
                <w:szCs w:val="20"/>
                <w:color w:val="auto"/>
              </w:rPr>
            </w:pPr>
            <w:r>
              <w:rPr>
                <w:rFonts w:ascii="Arial" w:cs="Arial" w:eastAsia="Arial" w:hAnsi="Arial"/>
                <w:sz w:val="17"/>
                <w:szCs w:val="17"/>
                <w:b w:val="1"/>
                <w:bCs w:val="1"/>
                <w:i w:val="1"/>
                <w:iCs w:val="1"/>
                <w:color w:val="auto"/>
              </w:rPr>
              <w:t>Customer Relationships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7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2022</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March 31, 2</w:t>
            </w:r>
          </w:p>
        </w:tc>
        <w:tc>
          <w:tcPr>
            <w:tcW w:w="0" w:type="dxa"/>
            <w:vAlign w:val="bottom"/>
          </w:tcPr>
          <w:p>
            <w:pPr>
              <w:spacing w:after="0"/>
              <w:rPr>
                <w:sz w:val="1"/>
                <w:szCs w:val="1"/>
                <w:color w:val="auto"/>
              </w:rPr>
            </w:pPr>
          </w:p>
        </w:tc>
      </w:tr>
      <w:tr>
        <w:trPr>
          <w:trHeight w:val="21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carrying amount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13,700</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11,702</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Weighted-Average Remaining Useful Life (Years)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7"/>
                <w:szCs w:val="17"/>
                <w:color w:val="auto"/>
              </w:rPr>
              <w:t>10.3</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Amortization expense was $1.1 million for each of the three months ended March 31, 2022 and 2023.</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Expected future amortization expense for intangible assets as of March 31, 2023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63"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0000FF"/>
        </w:rPr>
        <w:t>Table of Contents</w:t>
      </w:r>
    </w:p>
    <w:tbl>
      <w:tblPr>
        <w:tblLayout w:type="fixed"/>
        <w:tblInd w:w="0" w:type="dxa"/>
        <w:tblCellMar>
          <w:top w:w="0" w:type="dxa"/>
          <w:left w:w="0" w:type="dxa"/>
          <w:bottom w:w="0" w:type="dxa"/>
          <w:right w:w="0" w:type="dxa"/>
        </w:tblCellMar>
      </w:tblPr>
      <w:tr>
        <w:trPr>
          <w:trHeight w:val="243"/>
        </w:trPr>
        <w:tc>
          <w:tcPr>
            <w:tcW w:w="1220" w:type="dxa"/>
            <w:vAlign w:val="bottom"/>
            <w:tcBorders>
              <w:top w:val="single" w:sz="8" w:color="0000FF"/>
            </w:tcBorders>
          </w:tcPr>
          <w:p>
            <w:pPr>
              <w:spacing w:after="0"/>
              <w:rPr>
                <w:sz w:val="21"/>
                <w:szCs w:val="21"/>
                <w:color w:val="auto"/>
              </w:rPr>
            </w:pPr>
          </w:p>
        </w:tc>
        <w:tc>
          <w:tcPr>
            <w:tcW w:w="9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Upstart Holdings, Inc.</w:t>
            </w:r>
          </w:p>
        </w:tc>
        <w:tc>
          <w:tcPr>
            <w:tcW w:w="1020" w:type="dxa"/>
            <w:vAlign w:val="bottom"/>
          </w:tcPr>
          <w:p>
            <w:pPr>
              <w:spacing w:after="0"/>
              <w:rPr>
                <w:sz w:val="21"/>
                <w:szCs w:val="21"/>
                <w:color w:val="auto"/>
              </w:rPr>
            </w:pPr>
          </w:p>
        </w:tc>
      </w:tr>
      <w:tr>
        <w:trPr>
          <w:trHeight w:val="225"/>
        </w:trPr>
        <w:tc>
          <w:tcPr>
            <w:tcW w:w="1220" w:type="dxa"/>
            <w:vAlign w:val="bottom"/>
          </w:tcPr>
          <w:p>
            <w:pPr>
              <w:spacing w:after="0"/>
              <w:rPr>
                <w:sz w:val="19"/>
                <w:szCs w:val="19"/>
                <w:color w:val="auto"/>
              </w:rPr>
            </w:pPr>
          </w:p>
        </w:tc>
        <w:tc>
          <w:tcPr>
            <w:tcW w:w="9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Notes to Condensed Consolidated Financial Statements</w:t>
            </w:r>
          </w:p>
        </w:tc>
        <w:tc>
          <w:tcPr>
            <w:tcW w:w="1020" w:type="dxa"/>
            <w:vAlign w:val="bottom"/>
          </w:tcPr>
          <w:p>
            <w:pPr>
              <w:spacing w:after="0"/>
              <w:rPr>
                <w:sz w:val="19"/>
                <w:szCs w:val="19"/>
                <w:color w:val="auto"/>
              </w:rPr>
            </w:pPr>
          </w:p>
        </w:tc>
      </w:tr>
      <w:tr>
        <w:trPr>
          <w:trHeight w:val="258"/>
        </w:trPr>
        <w:tc>
          <w:tcPr>
            <w:tcW w:w="1220" w:type="dxa"/>
            <w:vAlign w:val="bottom"/>
          </w:tcPr>
          <w:p>
            <w:pPr>
              <w:spacing w:after="0"/>
              <w:rPr>
                <w:sz w:val="22"/>
                <w:szCs w:val="22"/>
                <w:color w:val="auto"/>
              </w:rPr>
            </w:pPr>
          </w:p>
        </w:tc>
        <w:tc>
          <w:tcPr>
            <w:tcW w:w="900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(Tabular Amounts in Thousands, Except Share and Per Share Data and Ratios, or as Noted)</w:t>
            </w:r>
          </w:p>
        </w:tc>
        <w:tc>
          <w:tcPr>
            <w:tcW w:w="1020" w:type="dxa"/>
            <w:vAlign w:val="bottom"/>
          </w:tcPr>
          <w:p>
            <w:pPr>
              <w:spacing w:after="0"/>
              <w:rPr>
                <w:sz w:val="22"/>
                <w:szCs w:val="22"/>
                <w:color w:val="auto"/>
              </w:rPr>
            </w:pPr>
          </w:p>
        </w:tc>
      </w:tr>
      <w:tr>
        <w:trPr>
          <w:trHeight w:val="245"/>
        </w:trPr>
        <w:tc>
          <w:tcPr>
            <w:tcW w:w="1220" w:type="dxa"/>
            <w:vAlign w:val="bottom"/>
          </w:tcPr>
          <w:p>
            <w:pPr>
              <w:spacing w:after="0"/>
              <w:rPr>
                <w:sz w:val="21"/>
                <w:szCs w:val="21"/>
                <w:color w:val="auto"/>
              </w:rPr>
            </w:pPr>
          </w:p>
        </w:tc>
        <w:tc>
          <w:tcPr>
            <w:tcW w:w="9000" w:type="dxa"/>
            <w:vAlign w:val="bottom"/>
            <w:gridSpan w:val="2"/>
          </w:tcPr>
          <w:p>
            <w:pPr>
              <w:jc w:val="center"/>
              <w:ind w:right="200"/>
              <w:spacing w:after="0"/>
              <w:rPr>
                <w:sz w:val="20"/>
                <w:szCs w:val="20"/>
                <w:color w:val="auto"/>
              </w:rPr>
            </w:pPr>
            <w:r>
              <w:rPr>
                <w:rFonts w:ascii="Arial" w:cs="Arial" w:eastAsia="Arial" w:hAnsi="Arial"/>
                <w:sz w:val="17"/>
                <w:szCs w:val="17"/>
                <w:color w:val="auto"/>
                <w:w w:val="94"/>
              </w:rPr>
              <w:t>(Unaudited)</w:t>
            </w:r>
          </w:p>
        </w:tc>
        <w:tc>
          <w:tcPr>
            <w:tcW w:w="1020" w:type="dxa"/>
            <w:vAlign w:val="bottom"/>
          </w:tcPr>
          <w:p>
            <w:pPr>
              <w:spacing w:after="0"/>
              <w:rPr>
                <w:sz w:val="21"/>
                <w:szCs w:val="21"/>
                <w:color w:val="auto"/>
              </w:rPr>
            </w:pPr>
          </w:p>
        </w:tc>
      </w:tr>
      <w:tr>
        <w:trPr>
          <w:trHeight w:val="710"/>
        </w:trPr>
        <w:tc>
          <w:tcPr>
            <w:tcW w:w="1220" w:type="dxa"/>
            <w:vAlign w:val="bottom"/>
          </w:tcPr>
          <w:p>
            <w:pPr>
              <w:ind w:left="20"/>
              <w:spacing w:after="0"/>
              <w:rPr>
                <w:sz w:val="20"/>
                <w:szCs w:val="20"/>
                <w:color w:val="auto"/>
              </w:rPr>
            </w:pPr>
            <w:r>
              <w:rPr>
                <w:rFonts w:ascii="Arial" w:cs="Arial" w:eastAsia="Arial" w:hAnsi="Arial"/>
                <w:sz w:val="17"/>
                <w:szCs w:val="17"/>
                <w:b w:val="1"/>
                <w:bCs w:val="1"/>
                <w:color w:val="auto"/>
              </w:rPr>
              <w:t>Fiscal Years:</w:t>
            </w:r>
          </w:p>
        </w:tc>
        <w:tc>
          <w:tcPr>
            <w:tcW w:w="8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Remaining 2023</w:t>
            </w:r>
          </w:p>
        </w:tc>
        <w:tc>
          <w:tcPr>
            <w:tcW w:w="9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3,206</w:t>
            </w:r>
          </w:p>
        </w:tc>
      </w:tr>
      <w:tr>
        <w:trPr>
          <w:trHeight w:val="218"/>
        </w:trPr>
        <w:tc>
          <w:tcPr>
            <w:tcW w:w="1220" w:type="dxa"/>
            <w:vAlign w:val="bottom"/>
          </w:tcPr>
          <w:p>
            <w:pPr>
              <w:ind w:left="20"/>
              <w:spacing w:after="0"/>
              <w:rPr>
                <w:sz w:val="20"/>
                <w:szCs w:val="20"/>
                <w:color w:val="auto"/>
              </w:rPr>
            </w:pPr>
            <w:r>
              <w:rPr>
                <w:rFonts w:ascii="Arial" w:cs="Arial" w:eastAsia="Arial" w:hAnsi="Arial"/>
                <w:sz w:val="17"/>
                <w:szCs w:val="17"/>
                <w:color w:val="auto"/>
              </w:rPr>
              <w:t>2024</w:t>
            </w:r>
          </w:p>
        </w:tc>
        <w:tc>
          <w:tcPr>
            <w:tcW w:w="8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1,925</w:t>
            </w: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8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r>
      <w:tr>
        <w:trPr>
          <w:trHeight w:val="218"/>
        </w:trPr>
        <w:tc>
          <w:tcPr>
            <w:tcW w:w="1220" w:type="dxa"/>
            <w:vAlign w:val="bottom"/>
          </w:tcPr>
          <w:p>
            <w:pPr>
              <w:ind w:left="20"/>
              <w:spacing w:after="0"/>
              <w:rPr>
                <w:sz w:val="20"/>
                <w:szCs w:val="20"/>
                <w:color w:val="auto"/>
              </w:rPr>
            </w:pPr>
            <w:r>
              <w:rPr>
                <w:rFonts w:ascii="Arial" w:cs="Arial" w:eastAsia="Arial" w:hAnsi="Arial"/>
                <w:sz w:val="17"/>
                <w:szCs w:val="17"/>
                <w:color w:val="auto"/>
              </w:rPr>
              <w:t>2026</w:t>
            </w:r>
          </w:p>
        </w:tc>
        <w:tc>
          <w:tcPr>
            <w:tcW w:w="8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1,142</w:t>
            </w: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8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r>
      <w:tr>
        <w:trPr>
          <w:trHeight w:val="218"/>
        </w:trPr>
        <w:tc>
          <w:tcPr>
            <w:tcW w:w="1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84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5,993</w:t>
            </w:r>
          </w:p>
        </w:tc>
      </w:tr>
      <w:tr>
        <w:trPr>
          <w:trHeight w:val="233"/>
        </w:trPr>
        <w:tc>
          <w:tcPr>
            <w:tcW w:w="12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9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14,550</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ind w:left="980"/>
              <w:spacing w:after="0"/>
              <w:rPr>
                <w:sz w:val="20"/>
                <w:szCs w:val="20"/>
                <w:color w:val="auto"/>
              </w:rPr>
            </w:pPr>
            <w:r>
              <w:rPr>
                <w:rFonts w:ascii="Arial" w:cs="Arial" w:eastAsia="Arial" w:hAnsi="Arial"/>
                <w:sz w:val="17"/>
                <w:szCs w:val="17"/>
                <w:b w:val="1"/>
                <w:bCs w:val="1"/>
                <w:color w:val="auto"/>
              </w:rPr>
              <w:t>7.  Balance Sheet Components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13"/>
        </w:trPr>
        <w:tc>
          <w:tcPr>
            <w:tcW w:w="780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Other Assets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7800" w:type="dxa"/>
            <w:vAlign w:val="bottom"/>
          </w:tcPr>
          <w:p>
            <w:pPr>
              <w:ind w:left="620"/>
              <w:spacing w:after="0"/>
              <w:rPr>
                <w:sz w:val="20"/>
                <w:szCs w:val="20"/>
                <w:color w:val="auto"/>
              </w:rPr>
            </w:pPr>
            <w:r>
              <w:rPr>
                <w:rFonts w:ascii="Arial" w:cs="Arial" w:eastAsia="Arial" w:hAnsi="Arial"/>
                <w:sz w:val="17"/>
                <w:szCs w:val="17"/>
                <w:color w:val="auto"/>
              </w:rPr>
              <w:t>Other assets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300" w:type="dxa"/>
            <w:vAlign w:val="bottom"/>
          </w:tcPr>
          <w:p>
            <w:pPr>
              <w:spacing w:after="0"/>
              <w:rPr>
                <w:sz w:val="24"/>
                <w:szCs w:val="24"/>
                <w:color w:val="auto"/>
              </w:rPr>
            </w:pPr>
          </w:p>
        </w:tc>
        <w:tc>
          <w:tcPr>
            <w:tcW w:w="1380" w:type="dxa"/>
            <w:vAlign w:val="bottom"/>
          </w:tcPr>
          <w:p>
            <w:pPr>
              <w:jc w:val="right"/>
              <w:ind w:right="37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 fees and other receivables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42,943</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Loan servicing assets (at fair value)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36,467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34,650</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22,032</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Deposits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10,002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9,839</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receivable and residual certificates (at fair value)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5,009</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22,678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19,926</w:t>
            </w: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138,720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134,399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Servicing fees and other receivables represent amounts recognized as revenue but not yet collected in relation to servicing and other agreements with institutional investors and lending partners.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Property, Equipment, and Software, Net</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38"/>
        </w:trPr>
        <w:tc>
          <w:tcPr>
            <w:tcW w:w="7800" w:type="dxa"/>
            <w:vAlign w:val="bottom"/>
          </w:tcPr>
          <w:p>
            <w:pPr>
              <w:ind w:left="620"/>
              <w:spacing w:after="0"/>
              <w:rPr>
                <w:sz w:val="20"/>
                <w:szCs w:val="20"/>
                <w:color w:val="auto"/>
              </w:rPr>
            </w:pPr>
            <w:r>
              <w:rPr>
                <w:rFonts w:ascii="Arial" w:cs="Arial" w:eastAsia="Arial" w:hAnsi="Arial"/>
                <w:sz w:val="17"/>
                <w:szCs w:val="17"/>
                <w:color w:val="auto"/>
              </w:rPr>
              <w:t>Property, equipment, and software, net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300" w:type="dxa"/>
            <w:vAlign w:val="bottom"/>
          </w:tcPr>
          <w:p>
            <w:pPr>
              <w:spacing w:after="0"/>
              <w:rPr>
                <w:sz w:val="24"/>
                <w:szCs w:val="24"/>
                <w:color w:val="auto"/>
              </w:rPr>
            </w:pPr>
          </w:p>
        </w:tc>
        <w:tc>
          <w:tcPr>
            <w:tcW w:w="1380" w:type="dxa"/>
            <w:vAlign w:val="bottom"/>
          </w:tcPr>
          <w:p>
            <w:pPr>
              <w:jc w:val="right"/>
              <w:ind w:right="37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Internally developed software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37,783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44,788</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13,074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13,919</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and networking equipment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6,054</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Furniture and fixtures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4,690</w:t>
            </w:r>
          </w:p>
        </w:tc>
      </w:tr>
      <w:tr>
        <w:trPr>
          <w:trHeight w:val="213"/>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equipment, and software</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69,451</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(22,474)</w:t>
            </w: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equipment, and software,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44,168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46,977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Depreciation and amortization expense on property, equipment, and software was immaterial for the three months ended March 31, 2022 and was $6.4 million for the three months ended March 31, 2023. Capitalized internally developed software balances, net of accumulated amortization, were $27.4 million and $29.9 million as of December 31, 2022 and March 31, 2023, respectively. The Company also recognized impairment charges to internally developed software of $2.6 million for the three months ended March 31, 2023 as a result of the January 2023 Plan. Refer to “</w:t>
      </w:r>
      <w:r>
        <w:rPr>
          <w:rFonts w:ascii="Arial" w:cs="Arial" w:eastAsia="Arial" w:hAnsi="Arial"/>
          <w:sz w:val="15"/>
          <w:szCs w:val="15"/>
          <w:i w:val="1"/>
          <w:iCs w:val="1"/>
          <w:color w:val="auto"/>
        </w:rPr>
        <w:t>Note 14. Reorganization Expenses”</w:t>
      </w:r>
      <w:r>
        <w:rPr>
          <w:rFonts w:ascii="Arial" w:cs="Arial" w:eastAsia="Arial" w:hAnsi="Arial"/>
          <w:sz w:val="15"/>
          <w:szCs w:val="15"/>
          <w:color w:val="auto"/>
        </w:rPr>
        <w:t xml:space="preserve"> for more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Accrued Expenses and Other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38"/>
        </w:trPr>
        <w:tc>
          <w:tcPr>
            <w:tcW w:w="7800" w:type="dxa"/>
            <w:vAlign w:val="bottom"/>
          </w:tcPr>
          <w:p>
            <w:pPr>
              <w:ind w:left="620"/>
              <w:spacing w:after="0"/>
              <w:rPr>
                <w:sz w:val="20"/>
                <w:szCs w:val="20"/>
                <w:color w:val="auto"/>
              </w:rPr>
            </w:pPr>
            <w:r>
              <w:rPr>
                <w:rFonts w:ascii="Arial" w:cs="Arial" w:eastAsia="Arial" w:hAnsi="Arial"/>
                <w:sz w:val="17"/>
                <w:szCs w:val="17"/>
                <w:color w:val="auto"/>
              </w:rPr>
              <w:t>Accrued expenses and other liabilities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300" w:type="dxa"/>
            <w:vAlign w:val="bottom"/>
          </w:tcPr>
          <w:p>
            <w:pPr>
              <w:spacing w:after="0"/>
              <w:rPr>
                <w:sz w:val="24"/>
                <w:szCs w:val="24"/>
                <w:color w:val="auto"/>
              </w:rPr>
            </w:pPr>
          </w:p>
        </w:tc>
        <w:tc>
          <w:tcPr>
            <w:tcW w:w="1380" w:type="dxa"/>
            <w:vAlign w:val="bottom"/>
          </w:tcPr>
          <w:p>
            <w:pPr>
              <w:jc w:val="right"/>
              <w:ind w:right="37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19,600</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Accrued payroll</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21,825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12,824</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servicing liabilities (at fair value)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3,142</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Trailing fee liability (at fair value)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4,449</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12,795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6,976</w:t>
            </w:r>
          </w:p>
        </w:tc>
      </w:tr>
      <w:tr>
        <w:trPr>
          <w:trHeight w:val="213"/>
        </w:trPr>
        <w:tc>
          <w:tcPr>
            <w:tcW w:w="7800" w:type="dxa"/>
            <w:vAlign w:val="bottom"/>
          </w:tcPr>
          <w:p>
            <w:pPr>
              <w:ind w:left="20"/>
              <w:spacing w:after="0"/>
              <w:rPr>
                <w:sz w:val="20"/>
                <w:szCs w:val="20"/>
                <w:color w:val="auto"/>
              </w:rPr>
            </w:pPr>
            <w:r>
              <w:rPr>
                <w:rFonts w:ascii="Arial" w:cs="Arial" w:eastAsia="Arial" w:hAnsi="Arial"/>
                <w:sz w:val="17"/>
                <w:szCs w:val="17"/>
                <w:color w:val="auto"/>
              </w:rPr>
              <w:t>Total accrued expenses and other liabilities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66,946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46,991</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Borrowings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the aggregate principal outstanding of all loans mentioned in this note that are included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ind w:left="1040"/>
              <w:spacing w:after="0"/>
              <w:rPr>
                <w:sz w:val="20"/>
                <w:szCs w:val="20"/>
                <w:color w:val="auto"/>
              </w:rPr>
            </w:pPr>
            <w:r>
              <w:rPr>
                <w:rFonts w:ascii="Arial" w:cs="Arial" w:eastAsia="Arial" w:hAnsi="Arial"/>
                <w:sz w:val="17"/>
                <w:szCs w:val="17"/>
                <w:b w:val="1"/>
                <w:bCs w:val="1"/>
                <w:color w:val="auto"/>
                <w:w w:val="90"/>
              </w:rPr>
              <w:t>Borrowings</w:t>
            </w:r>
          </w:p>
        </w:tc>
        <w:tc>
          <w:tcPr>
            <w:tcW w:w="1220" w:type="dxa"/>
            <w:vAlign w:val="bottom"/>
            <w:tcBorders>
              <w:bottom w:val="single" w:sz="8" w:color="auto"/>
            </w:tcBorders>
          </w:tcPr>
          <w:p>
            <w:pPr>
              <w:spacing w:after="0"/>
              <w:rPr>
                <w:sz w:val="19"/>
                <w:szCs w:val="19"/>
                <w:color w:val="auto"/>
              </w:rPr>
            </w:pPr>
          </w:p>
        </w:tc>
      </w:tr>
      <w:tr>
        <w:trPr>
          <w:trHeight w:val="207"/>
        </w:trPr>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420" w:type="dxa"/>
            <w:vAlign w:val="bottom"/>
          </w:tcPr>
          <w:p>
            <w:pPr>
              <w:spacing w:after="0"/>
              <w:rPr>
                <w:sz w:val="18"/>
                <w:szCs w:val="18"/>
                <w:color w:val="auto"/>
              </w:rPr>
            </w:pPr>
          </w:p>
        </w:tc>
        <w:tc>
          <w:tcPr>
            <w:tcW w:w="1220" w:type="dxa"/>
            <w:vAlign w:val="bottom"/>
          </w:tcPr>
          <w:p>
            <w:pPr>
              <w:jc w:val="right"/>
              <w:ind w:right="354"/>
              <w:spacing w:after="0"/>
              <w:rPr>
                <w:sz w:val="20"/>
                <w:szCs w:val="20"/>
                <w:color w:val="auto"/>
              </w:rPr>
            </w:pPr>
            <w:r>
              <w:rPr>
                <w:rFonts w:ascii="Arial" w:cs="Arial" w:eastAsia="Arial" w:hAnsi="Arial"/>
                <w:sz w:val="17"/>
                <w:szCs w:val="17"/>
                <w:b w:val="1"/>
                <w:bCs w:val="1"/>
                <w:color w:val="auto"/>
                <w:w w:val="96"/>
              </w:rPr>
              <w:t>March 31,</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Warehouse credit facilities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7"/>
              </w:rPr>
              <w:t>336,452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350,163</w:t>
            </w: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Convertible senior notes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97"/>
              </w:rPr>
              <w:t>661,250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661,250</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payments due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7"/>
              </w:rPr>
              <w:t>997,702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1,011,413</w:t>
            </w: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discount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w w:val="91"/>
              </w:rPr>
              <w:t>(11,308)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(10,542)</w:t>
            </w:r>
          </w:p>
        </w:tc>
      </w:tr>
      <w:tr>
        <w:trPr>
          <w:trHeight w:val="23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borrowings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w w:val="97"/>
              </w:rPr>
              <w:t>986,394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1,000,871</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Warehouse Credit Facilities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Upstart Loan Trust Warehouse Credit Facility</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and has been further amended from time to time. Under the revolving credit and security agreement, as amended from time to time, the ULT Warehouse Credit Facility provides an aggregate of $175.0 million financing capacity of which $100.0 million is committed and $75.0 million is uncommitted. ULT may borrow up to this capacity until the earlier of June 15, 2023 and the occurrence of an accelerated amortization event. Accelerated amortization events include, but are not limited to, failure to satisfy certain loan performance metrics or the occurrence of an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default. The proceeds may only be used to purchase unsecured personal loans and to pay fees and expenses related to the credit facility. The ULT Warehouse Credit Facility matures on the earlier of June 15, 2024 or acceleration of the facility following an event of default, upon which date 100% of the outstanding principal amount, together with any accrued and unpaid interest, becomes due and payable. The ULT Warehouse Credit Facility bears a floating interest rate of Compounded SOFR plus a spread ranging from 1.90% to 3.28% per annum, due and payable monthly in arrears. The Company is also subject to a monthly unused fee ranging from 0.20% to 1.00% per annum on the undrawn balance. The maximum advance rate under the ULT Warehouse Credit Facility on outstanding principal of loans held by ULT was 72.5% as of December 31, 2022 and March 31, 2023.</w:t>
      </w:r>
    </w:p>
    <w:p>
      <w:pPr>
        <w:spacing w:after="0" w:line="20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ULT Warehouse Credit Facility contains certain financial covenants. As of December 31, 2022 and March 31, 2023,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includes the aggregate balances held by ULT that were pledged as collateral for the ULT Warehouse Credit Facility and included in loans at fair value and restricted cash in the condensed 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ULT Warehouse Credit Facility</w:t>
            </w:r>
          </w:p>
        </w:tc>
      </w:tr>
      <w:tr>
        <w:trPr>
          <w:trHeight w:val="168"/>
        </w:trPr>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434"/>
              <w:spacing w:after="0" w:line="167" w:lineRule="exact"/>
              <w:rPr>
                <w:sz w:val="20"/>
                <w:szCs w:val="20"/>
                <w:color w:val="auto"/>
              </w:rPr>
            </w:pPr>
            <w:r>
              <w:rPr>
                <w:rFonts w:ascii="Arial" w:cs="Arial" w:eastAsia="Arial" w:hAnsi="Arial"/>
                <w:sz w:val="17"/>
                <w:szCs w:val="17"/>
                <w:b w:val="1"/>
                <w:bCs w:val="1"/>
                <w:color w:val="auto"/>
              </w:rPr>
              <w:t>March 31,</w:t>
            </w:r>
          </w:p>
        </w:tc>
      </w:tr>
      <w:tr>
        <w:trPr>
          <w:trHeight w:val="231"/>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 2022</w:t>
            </w:r>
          </w:p>
        </w:tc>
        <w:tc>
          <w:tcPr>
            <w:tcW w:w="320" w:type="dxa"/>
            <w:vAlign w:val="bottom"/>
          </w:tcPr>
          <w:p>
            <w:pPr>
              <w:spacing w:after="0"/>
              <w:rPr>
                <w:sz w:val="20"/>
                <w:szCs w:val="20"/>
                <w:color w:val="auto"/>
              </w:rPr>
            </w:pPr>
          </w:p>
        </w:tc>
        <w:tc>
          <w:tcPr>
            <w:tcW w:w="1480" w:type="dxa"/>
            <w:vAlign w:val="bottom"/>
          </w:tcPr>
          <w:p>
            <w:pPr>
              <w:jc w:val="right"/>
              <w:ind w:right="634"/>
              <w:spacing w:after="0"/>
              <w:rPr>
                <w:sz w:val="20"/>
                <w:szCs w:val="20"/>
                <w:color w:val="auto"/>
              </w:rPr>
            </w:pPr>
            <w:r>
              <w:rPr>
                <w:rFonts w:ascii="Arial" w:cs="Arial" w:eastAsia="Arial" w:hAnsi="Arial"/>
                <w:sz w:val="17"/>
                <w:szCs w:val="17"/>
                <w:b w:val="1"/>
                <w:bCs w:val="1"/>
                <w:color w:val="auto"/>
              </w:rPr>
              <w:t>2023</w:t>
            </w:r>
          </w:p>
        </w:tc>
      </w:tr>
      <w:tr>
        <w:trPr>
          <w:trHeight w:val="22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163,773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151,733</w:t>
            </w:r>
          </w:p>
        </w:tc>
      </w:tr>
      <w:tr>
        <w:trPr>
          <w:trHeight w:val="238"/>
        </w:trPr>
        <w:tc>
          <w:tcPr>
            <w:tcW w:w="7540" w:type="dxa"/>
            <w:vAlign w:val="bottom"/>
          </w:tcPr>
          <w:p>
            <w:pPr>
              <w:ind w:left="20"/>
              <w:spacing w:after="0"/>
              <w:rPr>
                <w:sz w:val="20"/>
                <w:szCs w:val="20"/>
                <w:color w:val="auto"/>
              </w:rPr>
            </w:pPr>
            <w:r>
              <w:rPr>
                <w:rFonts w:ascii="Arial" w:cs="Arial" w:eastAsia="Arial" w:hAnsi="Arial"/>
                <w:sz w:val="17"/>
                <w:szCs w:val="17"/>
                <w:color w:val="auto"/>
              </w:rPr>
              <w:t>Aggregate outstanding principal of loans pledged as collateral</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228,895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210,383</w:t>
            </w:r>
          </w:p>
        </w:tc>
      </w:tr>
      <w:tr>
        <w:trPr>
          <w:trHeight w:val="25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fair value of loans purchased and held by ULT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253,336</w:t>
            </w:r>
          </w:p>
        </w:tc>
      </w:tr>
      <w:tr>
        <w:trPr>
          <w:trHeight w:val="230"/>
        </w:trPr>
        <w:tc>
          <w:tcPr>
            <w:tcW w:w="7540" w:type="dxa"/>
            <w:vAlign w:val="bottom"/>
          </w:tcPr>
          <w:p>
            <w:pPr>
              <w:ind w:left="20"/>
              <w:spacing w:after="0"/>
              <w:rPr>
                <w:sz w:val="20"/>
                <w:szCs w:val="20"/>
                <w:color w:val="auto"/>
              </w:rPr>
            </w:pPr>
            <w:r>
              <w:rPr>
                <w:rFonts w:ascii="Arial" w:cs="Arial" w:eastAsia="Arial" w:hAnsi="Arial"/>
                <w:sz w:val="17"/>
                <w:szCs w:val="17"/>
                <w:color w:val="auto"/>
              </w:rPr>
              <w:t>Restricted cash pledged as collateral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8,547</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10,962</w:t>
            </w:r>
          </w:p>
        </w:tc>
      </w:tr>
    </w:tbl>
    <w:p>
      <w:pPr>
        <w:spacing w:after="0" w:line="29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Upstart Auto Warehouse Trust Credit Facility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December 2021, the Company’s consolidated VIE, Upstart Auto Warehouse Trust (“UAWT”), entered into a revolving credit and security agreement with a third-party lender (the “UAWT Warehouse Credit Facility”). The credit and security agreement for the UAWT Warehouse Credit Facility was amended and restated in its entirety in August 2022 and has been further amended from time to time.</w:t>
      </w:r>
    </w:p>
    <w:p>
      <w:pPr>
        <w:spacing w:after="0" w:line="20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As of December 31, 2022, UAWT could borrow up to $200 million until January 2023. The UAWT Warehouse Credit Facility had a maturity date in January 2024 and interest per annum at a rate equivalent to the weighted-average cost of commercial paper notes issued by the lender (the “UAWT Benchmark Rate”), plus a spread ranging from 2.2% to 3.5%. In the event the UAWT Benchmark Rate could not be adequately ascertained or available, the UAWT Benchmark Rate had to be replaced with an alternative rate such as SOFR. In addition, the UAWT Warehouse Credit Facility was also subject to a monthly unused fee of 0.50% per annum on the undrawn balance. Finally, as of December 31, 2022, the maximum advance rate under the UAWT Auto Warehouse Trust Credit Facility on outstanding principal of loans held by UAWT was 82.5%.</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January 31, 2023, UAWT entered into the Omnibus Amendment to the Credit Agreement with the existing third-party lender which extended the last date by which UAWT may make a drawdown from its existing $200 million UAWT Warehouse Credit Facility until the earlier of June 2024 or an accelerated amortization event. An accelerated amortization event includes, but is not limited to, failure to satisfy certain loan performance metrics or the occurrence of an event of default. The proceeds may only be used to purchase secured auto loans originated using Upstart’s platform and to pay fees and expenses related to the credit facility. The UAWT Warehouse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Facility matures in June 2025, at which time all outstanding amounts owed must be repaid. As of March 31, 2023 the UAWT Warehouse Credit Facility bears interest per annum at a rate equivalent to the weighted-average cost of commercial paper notes issued by the lender (the “UAWT Benchmark Rate”), plus a spread ranging from 3.0% to 4.0%, and the maximum advance rate under the credit facility on outstanding principal of loans held by UAWT was 80%. All other key terms of the Omnibus Amendment to the Credit Agreement were the same as those as of December 31, 2022.</w:t>
      </w:r>
    </w:p>
    <w:p>
      <w:pPr>
        <w:spacing w:after="0" w:line="18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 xml:space="preserve">In February 2023, UAWT entered into an interest rate cap agreement intended to protect against exposure to changes in cash flows attributable to interest rate risk on the warehouse facility. Refer to </w:t>
      </w:r>
      <w:r>
        <w:rPr>
          <w:rFonts w:ascii="Arial" w:cs="Arial" w:eastAsia="Arial" w:hAnsi="Arial"/>
          <w:sz w:val="16"/>
          <w:szCs w:val="16"/>
          <w:i w:val="1"/>
          <w:iCs w:val="1"/>
          <w:color w:val="auto"/>
        </w:rPr>
        <w:t>“Note 4. Derivative Financial Instruments”</w:t>
      </w:r>
      <w:r>
        <w:rPr>
          <w:rFonts w:ascii="Arial" w:cs="Arial" w:eastAsia="Arial" w:hAnsi="Arial"/>
          <w:sz w:val="16"/>
          <w:szCs w:val="16"/>
          <w:color w:val="auto"/>
        </w:rPr>
        <w:t xml:space="preserve"> for further details related to the agreement.</w:t>
      </w:r>
    </w:p>
    <w:p>
      <w:pPr>
        <w:spacing w:after="0" w:line="16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UAWT Warehouse Credit Facility contains certain financial covenants. As of December 31, 2022 and March 31, 2023, UAWT was in compliance with all applicable covenants under the UAWT Warehouse Credit Facility. The creditors of UAWT have no recourse to the general credit of the Company, except for certain limited obligations of UAWT to its creditors that are guaranteed by the Company.</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includes the aggregate balances held by UAWT that were pledged as collateral for the UAWT Warehouse Credit Facility and included in loans at fair value and restricted cash in the condensed consolidated balance sheets as of December 31, 2022 and March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7"/>
                <w:szCs w:val="17"/>
                <w:b w:val="1"/>
                <w:bCs w:val="1"/>
                <w:color w:val="auto"/>
              </w:rPr>
              <w:t>UAWT Warehouse Credit Facility</w:t>
            </w:r>
          </w:p>
        </w:tc>
      </w:tr>
      <w:tr>
        <w:trPr>
          <w:trHeight w:val="219"/>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 2022</w:t>
            </w:r>
          </w:p>
        </w:tc>
        <w:tc>
          <w:tcPr>
            <w:tcW w:w="280" w:type="dxa"/>
            <w:vAlign w:val="bottom"/>
          </w:tcPr>
          <w:p>
            <w:pPr>
              <w:spacing w:after="0"/>
              <w:rPr>
                <w:sz w:val="19"/>
                <w:szCs w:val="19"/>
                <w:color w:val="auto"/>
              </w:rPr>
            </w:pPr>
          </w:p>
        </w:tc>
        <w:tc>
          <w:tcPr>
            <w:tcW w:w="1800" w:type="dxa"/>
            <w:vAlign w:val="bottom"/>
          </w:tcPr>
          <w:p>
            <w:pPr>
              <w:jc w:val="right"/>
              <w:ind w:right="394"/>
              <w:spacing w:after="0"/>
              <w:rPr>
                <w:sz w:val="20"/>
                <w:szCs w:val="20"/>
                <w:color w:val="auto"/>
              </w:rPr>
            </w:pPr>
            <w:r>
              <w:rPr>
                <w:rFonts w:ascii="Arial" w:cs="Arial" w:eastAsia="Arial" w:hAnsi="Arial"/>
                <w:sz w:val="17"/>
                <w:szCs w:val="17"/>
                <w:b w:val="1"/>
                <w:bCs w:val="1"/>
                <w:color w:val="auto"/>
              </w:rPr>
              <w:t>March 31, 2023</w:t>
            </w:r>
          </w:p>
        </w:tc>
      </w:tr>
      <w:tr>
        <w:trPr>
          <w:trHeight w:val="225"/>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borrowings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198,430</w:t>
            </w:r>
          </w:p>
        </w:tc>
      </w:tr>
      <w:tr>
        <w:trPr>
          <w:trHeight w:val="238"/>
        </w:trPr>
        <w:tc>
          <w:tcPr>
            <w:tcW w:w="6980" w:type="dxa"/>
            <w:vAlign w:val="bottom"/>
          </w:tcPr>
          <w:p>
            <w:pPr>
              <w:ind w:left="20"/>
              <w:spacing w:after="0"/>
              <w:rPr>
                <w:sz w:val="20"/>
                <w:szCs w:val="20"/>
                <w:color w:val="auto"/>
              </w:rPr>
            </w:pPr>
            <w:r>
              <w:rPr>
                <w:rFonts w:ascii="Arial" w:cs="Arial" w:eastAsia="Arial" w:hAnsi="Arial"/>
                <w:sz w:val="17"/>
                <w:szCs w:val="17"/>
                <w:color w:val="auto"/>
              </w:rPr>
              <w:t>Aggregate outstanding principal of loans pledged as collateral</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221,847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298,158</w:t>
            </w:r>
          </w:p>
        </w:tc>
      </w:tr>
      <w:tr>
        <w:trPr>
          <w:trHeight w:val="252"/>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fair value of loans purchased and held by UAWT</w:t>
            </w: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291,621</w:t>
            </w:r>
          </w:p>
        </w:tc>
      </w:tr>
      <w:tr>
        <w:trPr>
          <w:trHeight w:val="230"/>
        </w:trPr>
        <w:tc>
          <w:tcPr>
            <w:tcW w:w="6980" w:type="dxa"/>
            <w:vAlign w:val="bottom"/>
          </w:tcPr>
          <w:p>
            <w:pPr>
              <w:ind w:left="20"/>
              <w:spacing w:after="0"/>
              <w:rPr>
                <w:sz w:val="20"/>
                <w:szCs w:val="20"/>
                <w:color w:val="auto"/>
              </w:rPr>
            </w:pPr>
            <w:r>
              <w:rPr>
                <w:rFonts w:ascii="Arial" w:cs="Arial" w:eastAsia="Arial" w:hAnsi="Arial"/>
                <w:sz w:val="17"/>
                <w:szCs w:val="17"/>
                <w:color w:val="auto"/>
              </w:rPr>
              <w:t>Restricted cash pledged as collateral</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843</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490</w:t>
            </w: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w:t>
      </w:r>
    </w:p>
    <w:p>
      <w:pPr>
        <w:spacing w:after="0" w:line="20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spacing w:after="0" w:line="2"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19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Holders may convert their Notes at their option any time prior to the close of business on the business day immediately preceding May 15, 2026 only under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22"/>
        <w:spacing w:after="0" w:line="290" w:lineRule="auto"/>
        <w:tabs>
          <w:tab w:leader="none" w:pos="8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83" w:lineRule="exact"/>
        <w:rPr>
          <w:rFonts w:ascii="Arial" w:cs="Arial" w:eastAsia="Arial" w:hAnsi="Arial"/>
          <w:sz w:val="16"/>
          <w:szCs w:val="16"/>
          <w:color w:val="auto"/>
        </w:rPr>
      </w:pPr>
    </w:p>
    <w:p>
      <w:pPr>
        <w:jc w:val="both"/>
        <w:ind w:firstLine="622"/>
        <w:spacing w:after="0" w:line="266" w:lineRule="auto"/>
        <w:tabs>
          <w:tab w:leader="none" w:pos="868"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200" w:lineRule="exact"/>
        <w:rPr>
          <w:rFonts w:ascii="Arial" w:cs="Arial" w:eastAsia="Arial" w:hAnsi="Arial"/>
          <w:sz w:val="17"/>
          <w:szCs w:val="17"/>
          <w:color w:val="auto"/>
        </w:rPr>
      </w:pPr>
    </w:p>
    <w:p>
      <w:pPr>
        <w:ind w:firstLine="622"/>
        <w:spacing w:after="0" w:line="279" w:lineRule="auto"/>
        <w:tabs>
          <w:tab w:leader="none" w:pos="8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call any or all of the Notes for redemption, at any time prior to the close of business on the second scheduled trading day immediately preceding the redemption date; or</w:t>
      </w:r>
    </w:p>
    <w:p>
      <w:pPr>
        <w:spacing w:after="0" w:line="190" w:lineRule="exact"/>
        <w:rPr>
          <w:rFonts w:ascii="Arial" w:cs="Arial" w:eastAsia="Arial" w:hAnsi="Arial"/>
          <w:sz w:val="17"/>
          <w:szCs w:val="17"/>
          <w:color w:val="auto"/>
        </w:rPr>
      </w:pPr>
    </w:p>
    <w:p>
      <w:pPr>
        <w:ind w:left="860" w:hanging="238"/>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upon the occurrence of specified corporate events.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its election.</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194"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For the three months ended March 31, 2023, the Company recorded immaterial coupon interest expense and $0.8 million of amortization of debt issuance costs within other income (expense), net on the condensed consolidated statements of operations and comprehensive income (loss). The effective interest rate of the Notes is 0.7%.</w:t>
      </w:r>
    </w:p>
    <w:p>
      <w:pPr>
        <w:spacing w:after="0" w:line="17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estimated fair value of the Notes as of December 31, 2022 and March 31, 2023 was approximately $364.8 million and $375.0 million, respectively, which represent Level 2 valuations in the fair value hierarchy. The estimated fair value was determined based on the estimated or actual bids and offers of the Notes in an over-the-counter market. The carrying value of the Notes of December 31, 2022 and March 31, 2023 was $649.9 million and $650.7 million, respectively.</w:t>
      </w:r>
    </w:p>
    <w:p>
      <w:pPr>
        <w:spacing w:after="0" w:line="3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Capped Call Transactions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potential dilution to common stock upon any conversion of Notes and/or offset any cash payments the Company is 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aggregate amount of maturities of all borrowings as of March 31,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March 31,</w:t>
            </w:r>
          </w:p>
        </w:tc>
      </w:tr>
      <w:tr>
        <w:trPr>
          <w:trHeight w:val="228"/>
        </w:trPr>
        <w:tc>
          <w:tcPr>
            <w:tcW w:w="12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7"/>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Remaining 2023</w:t>
            </w:r>
          </w:p>
        </w:tc>
        <w:tc>
          <w:tcPr>
            <w:tcW w:w="8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1220" w:type="dxa"/>
            <w:vAlign w:val="bottom"/>
          </w:tcPr>
          <w:p>
            <w:pPr>
              <w:ind w:left="20"/>
              <w:spacing w:after="0"/>
              <w:rPr>
                <w:sz w:val="20"/>
                <w:szCs w:val="20"/>
                <w:color w:val="auto"/>
              </w:rPr>
            </w:pPr>
            <w:r>
              <w:rPr>
                <w:rFonts w:ascii="Arial" w:cs="Arial" w:eastAsia="Arial" w:hAnsi="Arial"/>
                <w:sz w:val="17"/>
                <w:szCs w:val="17"/>
                <w:color w:val="auto"/>
              </w:rPr>
              <w:t>2024</w:t>
            </w:r>
          </w:p>
        </w:tc>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151,733</w:t>
            </w: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8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198,430</w:t>
            </w:r>
          </w:p>
        </w:tc>
      </w:tr>
      <w:tr>
        <w:trPr>
          <w:trHeight w:val="218"/>
        </w:trPr>
        <w:tc>
          <w:tcPr>
            <w:tcW w:w="1220" w:type="dxa"/>
            <w:vAlign w:val="bottom"/>
          </w:tcPr>
          <w:p>
            <w:pPr>
              <w:ind w:left="20"/>
              <w:spacing w:after="0"/>
              <w:rPr>
                <w:sz w:val="20"/>
                <w:szCs w:val="20"/>
                <w:color w:val="auto"/>
              </w:rPr>
            </w:pPr>
            <w:r>
              <w:rPr>
                <w:rFonts w:ascii="Arial" w:cs="Arial" w:eastAsia="Arial" w:hAnsi="Arial"/>
                <w:sz w:val="17"/>
                <w:szCs w:val="17"/>
                <w:color w:val="auto"/>
              </w:rPr>
              <w:t>2026</w:t>
            </w:r>
          </w:p>
        </w:tc>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661,250</w:t>
            </w: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8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1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8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1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8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1,011,413</w:t>
            </w:r>
          </w:p>
        </w:tc>
      </w:tr>
      <w:tr>
        <w:trPr>
          <w:trHeight w:val="20"/>
        </w:trPr>
        <w:tc>
          <w:tcPr>
            <w:tcW w:w="12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705"/>
        </w:trPr>
        <w:tc>
          <w:tcPr>
            <w:tcW w:w="1220" w:type="dxa"/>
            <w:vAlign w:val="bottom"/>
          </w:tcPr>
          <w:p>
            <w:pPr>
              <w:ind w:left="980"/>
              <w:spacing w:after="0"/>
              <w:rPr>
                <w:sz w:val="20"/>
                <w:szCs w:val="20"/>
                <w:color w:val="auto"/>
              </w:rPr>
            </w:pPr>
            <w:r>
              <w:rPr>
                <w:rFonts w:ascii="Arial" w:cs="Arial" w:eastAsia="Arial" w:hAnsi="Arial"/>
                <w:sz w:val="17"/>
                <w:szCs w:val="17"/>
                <w:b w:val="1"/>
                <w:bCs w:val="1"/>
                <w:color w:val="auto"/>
              </w:rPr>
              <w:t>9.</w:t>
            </w:r>
          </w:p>
        </w:tc>
        <w:tc>
          <w:tcPr>
            <w:tcW w:w="8660" w:type="dxa"/>
            <w:vAlign w:val="bottom"/>
            <w:gridSpan w:val="2"/>
          </w:tcPr>
          <w:p>
            <w:pPr>
              <w:jc w:val="right"/>
              <w:ind w:right="6974"/>
              <w:spacing w:after="0"/>
              <w:rPr>
                <w:sz w:val="20"/>
                <w:szCs w:val="20"/>
                <w:color w:val="auto"/>
              </w:rPr>
            </w:pPr>
            <w:r>
              <w:rPr>
                <w:rFonts w:ascii="Arial" w:cs="Arial" w:eastAsia="Arial" w:hAnsi="Arial"/>
                <w:sz w:val="17"/>
                <w:szCs w:val="17"/>
                <w:b w:val="1"/>
                <w:bCs w:val="1"/>
                <w:color w:val="auto"/>
                <w:w w:val="93"/>
              </w:rPr>
              <w:t>Stockholders' Equity</w:t>
            </w:r>
          </w:p>
        </w:tc>
        <w:tc>
          <w:tcPr>
            <w:tcW w:w="1360" w:type="dxa"/>
            <w:vAlign w:val="bottom"/>
          </w:tcPr>
          <w:p>
            <w:pPr>
              <w:spacing w:after="0"/>
              <w:rPr>
                <w:sz w:val="24"/>
                <w:szCs w:val="24"/>
                <w:color w:val="auto"/>
              </w:rPr>
            </w:pPr>
          </w:p>
        </w:tc>
      </w:tr>
    </w:tbl>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Common Stock Reserved for Future Issuance</w:t>
      </w:r>
    </w:p>
    <w:p>
      <w:pPr>
        <w:spacing w:after="0" w:line="23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Arial" w:cs="Arial" w:eastAsia="Arial" w:hAnsi="Arial"/>
                <w:sz w:val="17"/>
                <w:szCs w:val="17"/>
                <w:b w:val="1"/>
                <w:bCs w:val="1"/>
                <w:color w:val="auto"/>
              </w:rPr>
              <w:t>December 31,</w:t>
            </w:r>
          </w:p>
        </w:tc>
        <w:tc>
          <w:tcPr>
            <w:tcW w:w="1640" w:type="dxa"/>
            <w:vAlign w:val="bottom"/>
          </w:tcPr>
          <w:p>
            <w:pPr>
              <w:jc w:val="right"/>
              <w:ind w:right="354"/>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78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issued and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12,547,010</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13,929,917</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RSUs outstanding</w:t>
            </w:r>
          </w:p>
        </w:tc>
        <w:tc>
          <w:tcPr>
            <w:tcW w:w="1640" w:type="dxa"/>
            <w:vAlign w:val="bottom"/>
          </w:tcPr>
          <w:p>
            <w:pPr>
              <w:jc w:val="right"/>
              <w:spacing w:after="0"/>
              <w:rPr>
                <w:sz w:val="20"/>
                <w:szCs w:val="20"/>
                <w:color w:val="auto"/>
              </w:rPr>
            </w:pPr>
            <w:r>
              <w:rPr>
                <w:rFonts w:ascii="Arial" w:cs="Arial" w:eastAsia="Arial" w:hAnsi="Arial"/>
                <w:sz w:val="17"/>
                <w:szCs w:val="17"/>
                <w:color w:val="auto"/>
              </w:rPr>
              <w:t>6,046,796</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8,222,931</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PRSUs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Shares available for future issuance under 2020 plan</w:t>
            </w:r>
          </w:p>
        </w:tc>
        <w:tc>
          <w:tcPr>
            <w:tcW w:w="1640" w:type="dxa"/>
            <w:vAlign w:val="bottom"/>
          </w:tcPr>
          <w:p>
            <w:pPr>
              <w:jc w:val="right"/>
              <w:spacing w:after="0"/>
              <w:rPr>
                <w:sz w:val="20"/>
                <w:szCs w:val="20"/>
                <w:color w:val="auto"/>
              </w:rPr>
            </w:pPr>
            <w:r>
              <w:rPr>
                <w:rFonts w:ascii="Arial" w:cs="Arial" w:eastAsia="Arial" w:hAnsi="Arial"/>
                <w:sz w:val="17"/>
                <w:szCs w:val="17"/>
                <w:color w:val="auto"/>
              </w:rPr>
              <w:t>5,842,057</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6,004,507</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available for issuance under ESPP</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2,543,089</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3,043,551</w:t>
            </w:r>
          </w:p>
        </w:tc>
      </w:tr>
      <w:tr>
        <w:trPr>
          <w:trHeight w:val="213"/>
        </w:trPr>
        <w:tc>
          <w:tcPr>
            <w:tcW w:w="7880" w:type="dxa"/>
            <w:vAlign w:val="bottom"/>
          </w:tcPr>
          <w:p>
            <w:pPr>
              <w:ind w:left="20"/>
              <w:spacing w:after="0"/>
              <w:rPr>
                <w:sz w:val="20"/>
                <w:szCs w:val="20"/>
                <w:color w:val="auto"/>
              </w:rPr>
            </w:pPr>
            <w:r>
              <w:rPr>
                <w:rFonts w:ascii="Arial" w:cs="Arial" w:eastAsia="Arial" w:hAnsi="Arial"/>
                <w:sz w:val="17"/>
                <w:szCs w:val="17"/>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27,666,452</w:t>
            </w:r>
          </w:p>
        </w:tc>
        <w:tc>
          <w:tcPr>
            <w:tcW w:w="8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31,200,906</w:t>
            </w:r>
          </w:p>
        </w:tc>
      </w:tr>
      <w:tr>
        <w:trPr>
          <w:trHeight w:val="20"/>
        </w:trPr>
        <w:tc>
          <w:tcPr>
            <w:tcW w:w="7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February 2022, the Board of Directors authorized the Company to purchase up to $400.0 million of common stock of the Company. The Company may repurchase shares from time to time through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three months ended March 31, 2023, the Company made no repurchases of common stock. As of March 31, 2023, $222.1 million remains available for future purchases of our common stock under the share repurchase program.</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Company's 2020 Equity Incentive Plan authorizes grants of ISOs, NSOs, stock appreciation rights, restricted stock, RSUs, and performance awards to eligible participants.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stock option activity for the three months ended March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7"/>
                <w:szCs w:val="17"/>
                <w:b w:val="1"/>
                <w:bCs w:val="1"/>
                <w:color w:val="auto"/>
                <w:w w:val="91"/>
              </w:rPr>
              <w:t>Weighted-Average</w:t>
            </w: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Weighted-Average</w:t>
            </w:r>
          </w:p>
        </w:tc>
        <w:tc>
          <w:tcPr>
            <w:tcW w:w="240" w:type="dxa"/>
            <w:vAlign w:val="bottom"/>
          </w:tcPr>
          <w:p>
            <w:pPr>
              <w:spacing w:after="0"/>
              <w:rPr>
                <w:sz w:val="16"/>
                <w:szCs w:val="16"/>
                <w:color w:val="auto"/>
              </w:rPr>
            </w:pPr>
          </w:p>
        </w:tc>
        <w:tc>
          <w:tcPr>
            <w:tcW w:w="1260" w:type="dxa"/>
            <w:vAlign w:val="bottom"/>
            <w:vMerge w:val="restart"/>
          </w:tcPr>
          <w:p>
            <w:pPr>
              <w:jc w:val="center"/>
              <w:ind w:right="174"/>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580" w:type="dxa"/>
            <w:vAlign w:val="bottom"/>
            <w:gridSpan w:val="2"/>
          </w:tcPr>
          <w:p>
            <w:pPr>
              <w:jc w:val="center"/>
              <w:ind w:right="60"/>
              <w:spacing w:after="0" w:line="167" w:lineRule="exact"/>
              <w:rPr>
                <w:sz w:val="20"/>
                <w:szCs w:val="20"/>
                <w:color w:val="auto"/>
              </w:rPr>
            </w:pPr>
            <w:r>
              <w:rPr>
                <w:rFonts w:ascii="Arial" w:cs="Arial" w:eastAsia="Arial" w:hAnsi="Arial"/>
                <w:sz w:val="17"/>
                <w:szCs w:val="17"/>
                <w:b w:val="1"/>
                <w:bCs w:val="1"/>
                <w:color w:val="auto"/>
                <w:w w:val="91"/>
              </w:rPr>
              <w:t>Remaining</w:t>
            </w: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line="167" w:lineRule="exact"/>
              <w:rPr>
                <w:sz w:val="20"/>
                <w:szCs w:val="20"/>
                <w:color w:val="auto"/>
              </w:rPr>
            </w:pPr>
            <w:r>
              <w:rPr>
                <w:rFonts w:ascii="Arial" w:cs="Arial" w:eastAsia="Arial" w:hAnsi="Arial"/>
                <w:sz w:val="17"/>
                <w:szCs w:val="17"/>
                <w:b w:val="1"/>
                <w:bCs w:val="1"/>
                <w:color w:val="auto"/>
                <w:w w:val="90"/>
              </w:rPr>
              <w:t>Exercise Price Per</w:t>
            </w:r>
          </w:p>
        </w:tc>
        <w:tc>
          <w:tcPr>
            <w:tcW w:w="1580" w:type="dxa"/>
            <w:vAlign w:val="bottom"/>
            <w:gridSpan w:val="2"/>
          </w:tcPr>
          <w:p>
            <w:pPr>
              <w:jc w:val="center"/>
              <w:ind w:right="80"/>
              <w:spacing w:after="0" w:line="167" w:lineRule="exact"/>
              <w:rPr>
                <w:sz w:val="20"/>
                <w:szCs w:val="20"/>
                <w:color w:val="auto"/>
              </w:rPr>
            </w:pPr>
            <w:r>
              <w:rPr>
                <w:rFonts w:ascii="Arial" w:cs="Arial" w:eastAsia="Arial" w:hAnsi="Arial"/>
                <w:sz w:val="17"/>
                <w:szCs w:val="17"/>
                <w:b w:val="1"/>
                <w:bCs w:val="1"/>
                <w:color w:val="auto"/>
                <w:w w:val="94"/>
              </w:rPr>
              <w:t>Contractual Life</w:t>
            </w:r>
          </w:p>
        </w:tc>
        <w:tc>
          <w:tcPr>
            <w:tcW w:w="240" w:type="dxa"/>
            <w:vAlign w:val="bottom"/>
          </w:tcPr>
          <w:p>
            <w:pPr>
              <w:spacing w:after="0"/>
              <w:rPr>
                <w:sz w:val="14"/>
                <w:szCs w:val="14"/>
                <w:color w:val="auto"/>
              </w:rPr>
            </w:pPr>
          </w:p>
        </w:tc>
        <w:tc>
          <w:tcPr>
            <w:tcW w:w="1260" w:type="dxa"/>
            <w:vAlign w:val="bottom"/>
          </w:tcPr>
          <w:p>
            <w:pPr>
              <w:jc w:val="center"/>
              <w:ind w:right="174"/>
              <w:spacing w:after="0" w:line="167" w:lineRule="exact"/>
              <w:rPr>
                <w:sz w:val="20"/>
                <w:szCs w:val="20"/>
                <w:color w:val="auto"/>
              </w:rPr>
            </w:pPr>
            <w:r>
              <w:rPr>
                <w:rFonts w:ascii="Arial" w:cs="Arial" w:eastAsia="Arial" w:hAnsi="Arial"/>
                <w:sz w:val="17"/>
                <w:szCs w:val="17"/>
                <w:b w:val="1"/>
                <w:bCs w:val="1"/>
                <w:color w:val="auto"/>
                <w:w w:val="96"/>
              </w:rPr>
              <w:t>Intrinsic</w:t>
            </w: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Number of Options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88"/>
              </w:rPr>
              <w:t>Share</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(years)</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88"/>
              </w:rPr>
              <w:t>Value</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12,547,010</w:t>
            </w: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77,289</w:t>
            </w:r>
          </w:p>
        </w:tc>
        <w:tc>
          <w:tcPr>
            <w:tcW w:w="0" w:type="dxa"/>
            <w:vAlign w:val="bottom"/>
          </w:tcPr>
          <w:p>
            <w:pPr>
              <w:spacing w:after="0"/>
              <w:rPr>
                <w:sz w:val="1"/>
                <w:szCs w:val="1"/>
                <w:color w:val="auto"/>
              </w:rPr>
            </w:pPr>
          </w:p>
        </w:tc>
      </w:tr>
      <w:tr>
        <w:trPr>
          <w:trHeight w:val="211"/>
        </w:trPr>
        <w:tc>
          <w:tcPr>
            <w:tcW w:w="5000" w:type="dxa"/>
            <w:vAlign w:val="bottom"/>
          </w:tcPr>
          <w:p>
            <w:pPr>
              <w:ind w:left="120"/>
              <w:spacing w:after="0"/>
              <w:rPr>
                <w:sz w:val="20"/>
                <w:szCs w:val="20"/>
                <w:color w:val="auto"/>
              </w:rPr>
            </w:pPr>
            <w:r>
              <w:rPr>
                <w:rFonts w:ascii="Arial" w:cs="Arial" w:eastAsia="Arial" w:hAnsi="Arial"/>
                <w:sz w:val="17"/>
                <w:szCs w:val="17"/>
                <w:color w:val="auto"/>
              </w:rPr>
              <w:t>Options 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2,065,794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15.23</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Options cancelled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(351,794)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18.81</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March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13,929,917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14.87</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96,888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color w:val="auto"/>
              </w:rPr>
              <w:t>Options exercisable – March 31, 2023</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6.94</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5.1</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88,402</w:t>
            </w:r>
          </w:p>
        </w:tc>
        <w:tc>
          <w:tcPr>
            <w:tcW w:w="0" w:type="dxa"/>
            <w:vAlign w:val="bottom"/>
          </w:tcPr>
          <w:p>
            <w:pPr>
              <w:spacing w:after="0" w:line="20" w:lineRule="exact"/>
              <w:rPr>
                <w:sz w:val="1"/>
                <w:szCs w:val="1"/>
                <w:color w:val="auto"/>
              </w:rPr>
            </w:pPr>
          </w:p>
        </w:tc>
      </w:tr>
      <w:tr>
        <w:trPr>
          <w:trHeight w:val="190"/>
        </w:trPr>
        <w:tc>
          <w:tcPr>
            <w:tcW w:w="5000" w:type="dxa"/>
            <w:vAlign w:val="bottom"/>
            <w:vMerge w:val="continue"/>
          </w:tcPr>
          <w:p>
            <w:pPr>
              <w:spacing w:after="0"/>
              <w:rPr>
                <w:sz w:val="16"/>
                <w:szCs w:val="16"/>
                <w:color w:val="auto"/>
              </w:rPr>
            </w:pPr>
          </w:p>
        </w:tc>
        <w:tc>
          <w:tcPr>
            <w:tcW w:w="1480" w:type="dxa"/>
            <w:vAlign w:val="bottom"/>
          </w:tcPr>
          <w:p>
            <w:pPr>
              <w:jc w:val="right"/>
              <w:spacing w:after="0" w:line="190" w:lineRule="exact"/>
              <w:rPr>
                <w:sz w:val="20"/>
                <w:szCs w:val="20"/>
                <w:color w:val="auto"/>
              </w:rPr>
            </w:pPr>
            <w:r>
              <w:rPr>
                <w:rFonts w:ascii="Arial" w:cs="Arial" w:eastAsia="Arial" w:hAnsi="Arial"/>
                <w:sz w:val="17"/>
                <w:szCs w:val="17"/>
                <w:color w:val="auto"/>
              </w:rPr>
              <w:t>8,251,381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vested and expected to vest – March 31, 2023</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13,881,292</w:t>
            </w: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96,844</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aggregate intrinsic value is calculated as the difference between the exercise price of the underlying awards and the fair value of the Company’s stock as of March 31, 2023. The aggregate intrinsic value of options exercised for the three months ended March 31, 2022 and 2023 was $105.2 million and $4.0 million respectively. The weighted-average grant date fair value of options granted during the three months ended March 31, 2022 and 2023 was $63.78 and $8.00 per share, respectively. The total fair value of options vested for the three months ended March 31, 2022 and 2023 was $6.7 million and $9.5 million respectively.</w:t>
      </w:r>
    </w:p>
    <w:p>
      <w:pPr>
        <w:spacing w:after="0" w:line="1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March 31, 2023, total unrecognized stock-based compensation expense related to unvested stock options was $65.4 million, which is expected to be recognized over a remaining weighted-average period of 3.0 years.</w:t>
      </w:r>
    </w:p>
    <w:p>
      <w:pPr>
        <w:spacing w:after="0" w:line="3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grants RSUs to employees and nonemployees. RSUs vest upon satisfaction of a service-based condition, which is generally satisfied over one to four years. The following table summarizes RSU activity for the three months ended March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jc w:val="right"/>
              <w:ind w:right="94"/>
              <w:spacing w:after="0"/>
              <w:rPr>
                <w:sz w:val="20"/>
                <w:szCs w:val="20"/>
                <w:color w:val="auto"/>
              </w:rPr>
            </w:pPr>
            <w:r>
              <w:rPr>
                <w:rFonts w:ascii="Arial" w:cs="Arial" w:eastAsia="Arial" w:hAnsi="Arial"/>
                <w:sz w:val="17"/>
                <w:szCs w:val="17"/>
                <w:b w:val="1"/>
                <w:bCs w:val="1"/>
                <w:color w:val="auto"/>
                <w:w w:val="95"/>
              </w:rPr>
              <w:t>Weighted-Average Grant</w:t>
            </w:r>
          </w:p>
        </w:tc>
      </w:tr>
      <w:tr>
        <w:trPr>
          <w:trHeight w:val="231"/>
        </w:trPr>
        <w:tc>
          <w:tcPr>
            <w:tcW w:w="67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Number of Shares</w:t>
            </w:r>
          </w:p>
        </w:tc>
        <w:tc>
          <w:tcPr>
            <w:tcW w:w="2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jc w:val="right"/>
              <w:ind w:right="54"/>
              <w:spacing w:after="0"/>
              <w:rPr>
                <w:sz w:val="20"/>
                <w:szCs w:val="20"/>
                <w:color w:val="auto"/>
              </w:rPr>
            </w:pPr>
            <w:r>
              <w:rPr>
                <w:rFonts w:ascii="Arial" w:cs="Arial" w:eastAsia="Arial" w:hAnsi="Arial"/>
                <w:sz w:val="17"/>
                <w:szCs w:val="17"/>
                <w:b w:val="1"/>
                <w:bCs w:val="1"/>
                <w:color w:val="auto"/>
                <w:w w:val="93"/>
              </w:rPr>
              <w:t>Date Fair Value Per Share</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6,046,796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51.28</w:t>
            </w:r>
          </w:p>
        </w:tc>
      </w:tr>
      <w:tr>
        <w:trPr>
          <w:trHeight w:val="211"/>
        </w:trPr>
        <w:tc>
          <w:tcPr>
            <w:tcW w:w="6700" w:type="dxa"/>
            <w:vAlign w:val="bottom"/>
          </w:tcPr>
          <w:p>
            <w:pPr>
              <w:ind w:left="120"/>
              <w:spacing w:after="0"/>
              <w:rPr>
                <w:sz w:val="20"/>
                <w:szCs w:val="20"/>
                <w:color w:val="auto"/>
              </w:rPr>
            </w:pPr>
            <w:r>
              <w:rPr>
                <w:rFonts w:ascii="Arial" w:cs="Arial" w:eastAsia="Arial" w:hAnsi="Arial"/>
                <w:sz w:val="17"/>
                <w:szCs w:val="17"/>
                <w:color w:val="auto"/>
              </w:rPr>
              <w:t>RSUs granted</w:t>
            </w:r>
          </w:p>
        </w:tc>
        <w:tc>
          <w:tcPr>
            <w:tcW w:w="2220" w:type="dxa"/>
            <w:vAlign w:val="bottom"/>
          </w:tcPr>
          <w:p>
            <w:pPr>
              <w:jc w:val="right"/>
              <w:spacing w:after="0"/>
              <w:rPr>
                <w:sz w:val="20"/>
                <w:szCs w:val="20"/>
                <w:color w:val="auto"/>
              </w:rPr>
            </w:pPr>
            <w:r>
              <w:rPr>
                <w:rFonts w:ascii="Arial" w:cs="Arial" w:eastAsia="Arial" w:hAnsi="Arial"/>
                <w:sz w:val="17"/>
                <w:szCs w:val="17"/>
                <w:color w:val="auto"/>
              </w:rPr>
              <w:t>3,409,843</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17.44</w:t>
            </w:r>
          </w:p>
        </w:tc>
      </w:tr>
      <w:tr>
        <w:trPr>
          <w:trHeight w:val="220"/>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RSUs vested</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(698,173)</w:t>
            </w: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42.10</w:t>
            </w:r>
          </w:p>
        </w:tc>
      </w:tr>
      <w:tr>
        <w:trPr>
          <w:trHeight w:val="218"/>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RSUs cancelled and forfeited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(535,535)</w:t>
            </w:r>
          </w:p>
        </w:tc>
        <w:tc>
          <w:tcPr>
            <w:tcW w:w="2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74.43</w:t>
            </w: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March 31, 2023</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8,222,931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36.52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March 31, 2023, total unrecognized stock-based compensation expense related to outstanding unvested RSUs was $253.6 million, which is expected to be recognized over a remaining weighted-average period of 2.6 years.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w:t>
      </w:r>
    </w:p>
    <w:p>
      <w:pPr>
        <w:spacing w:after="0" w:line="23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connection with the Prodigy Software, Inc. (“Prodigy”) acquisition in April 2021, 82,201 shares of the Company’s restricted common stock (“restricted stock”) with a fair value of $10.1 million were issued to certain Prodigy employees. The restricted stock is subject to transfer restrictions and a repurchase option and is contingent upon the employees' continued employment with the Company. The repurchase option will lapse with respect to 1/8th of the shares of restricted stock at the end of each successive three-month period following the closing date of the Prodigy acquisition. The restricted stock is subject to restrictions which lapse on a quarterly basis over two years from the time of the Prodigy acquisition.</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Restricted Stock activity for the three months ended March 31,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jc w:val="right"/>
              <w:ind w:right="94"/>
              <w:spacing w:after="0"/>
              <w:rPr>
                <w:sz w:val="20"/>
                <w:szCs w:val="20"/>
                <w:color w:val="auto"/>
              </w:rPr>
            </w:pPr>
            <w:r>
              <w:rPr>
                <w:rFonts w:ascii="Arial" w:cs="Arial" w:eastAsia="Arial" w:hAnsi="Arial"/>
                <w:sz w:val="17"/>
                <w:szCs w:val="17"/>
                <w:b w:val="1"/>
                <w:bCs w:val="1"/>
                <w:color w:val="auto"/>
                <w:w w:val="95"/>
              </w:rPr>
              <w:t>Weighted-Average Grant</w:t>
            </w:r>
          </w:p>
        </w:tc>
      </w:tr>
      <w:tr>
        <w:trPr>
          <w:trHeight w:val="231"/>
        </w:trPr>
        <w:tc>
          <w:tcPr>
            <w:tcW w:w="67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Number of Shares</w:t>
            </w:r>
          </w:p>
        </w:tc>
        <w:tc>
          <w:tcPr>
            <w:tcW w:w="2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jc w:val="right"/>
              <w:ind w:right="54"/>
              <w:spacing w:after="0"/>
              <w:rPr>
                <w:sz w:val="20"/>
                <w:szCs w:val="20"/>
                <w:color w:val="auto"/>
              </w:rPr>
            </w:pPr>
            <w:r>
              <w:rPr>
                <w:rFonts w:ascii="Arial" w:cs="Arial" w:eastAsia="Arial" w:hAnsi="Arial"/>
                <w:sz w:val="17"/>
                <w:szCs w:val="17"/>
                <w:b w:val="1"/>
                <w:bCs w:val="1"/>
                <w:color w:val="auto"/>
                <w:w w:val="93"/>
              </w:rPr>
              <w:t>Date Fair Value Per Share</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2022</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123.33</w:t>
            </w:r>
          </w:p>
        </w:tc>
      </w:tr>
      <w:tr>
        <w:trPr>
          <w:trHeight w:val="218"/>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Vested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(5,138)</w:t>
            </w:r>
          </w:p>
        </w:tc>
        <w:tc>
          <w:tcPr>
            <w:tcW w:w="2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123.33</w:t>
            </w: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March 31, 2023</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123.33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March 31, 2023, total unrecognized stock-based compensation expense related to restricted stock was immaterial.</w:t>
      </w: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Performance-based Restricted Stock Units</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On February 24, 2023, the Company’s Compensation Committee of the Board of Directors approved the cancellation of a performance-based restricted stock unit award (“PRSUs”) that may be settled for 687,500 shares of the Company’s common stock granted to an executive in February 2022.</w:t>
      </w:r>
    </w:p>
    <w:p>
      <w:pPr>
        <w:spacing w:after="0" w:line="16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At the time the PRSUs were granted, the PRSUs were intended to be the executive’s primary compensation through calendar year 2029 so that, in connection with the grant of the PRSUs, the executive’s cash compensation was limited to the amount necessary to allow the executive to participate in the broad-based employee benefits generally applicable at the Company. In reaching its decision to cancel the PRSUs,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extensively considered the purpose of the PRSUs and determined that the grant no longer provided the intended retention and incentive value to the executive. After considering various alternatives and the pros and cons of such alternatives and consulting with its external advisors, the Compensation Committee believed it was in the best interest of the Company and its stockholders to cancel the PRSUs in exchange for the reinstatement of the executive’s cash compensation, including the executive’s annual base salary and eligibility to participate in the Company’s 2023 Executive Bonus Plan with an annual target bonus opportunity equal to 75% of the executive’s annual base salary.</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Compensation expense associated with the PRSUs was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The cancellation of the grant was treated by the Company as a settlement for no consideration and remaining unrecognized compensation expense of $39.0 million associated with the grant was accelerated and recorded by the Company as part of engineering and product development expense on the condensed consolidated statements of operations and comprehensive income (loss) for the quarter ended March 31, 2023.</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three months ended March 31, 2023, 312,134 shares of common stock were purchased under the ESPP.</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March 31, 2023, total unrecognized stock-based compensation expense related to the ESPP was $1.3 million, which is expected to be recognized over a remaining weighted-average period of 0.4 years.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Fair Value of Awards Granted</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determining the fair value of stock-based awards, the Company uses a Black-Scholes option-pricing model for its options granted and ESPP purchase rights and a Monte Carlo simulation model for its PRSUs. The inputs used for estimating the fair values of options granted, ESPP purchase rights and PRSUs granted during the period include:</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–The fair value of the Company’s common stock is determined by the closing price, on the date of grant, of its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which is traded on the Nasdaq Global Select Market.</w:t>
      </w:r>
    </w:p>
    <w:p>
      <w:pPr>
        <w:spacing w:after="0" w:line="19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Company’s stock options and ESPP purchase rights are expected to be outstanding. We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the expected term based on the simplified method, which is the weighted-average time to vesting and the contractual maturity. The expected term for PRSUs is the simulation term, the time period from the valuation date to the end of the performance measurement period.</w:t>
      </w:r>
    </w:p>
    <w:p>
      <w:pPr>
        <w:spacing w:after="0" w:line="18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i w:val="1"/>
          <w:iCs w:val="1"/>
          <w:color w:val="auto"/>
        </w:rPr>
        <w:t>Volatility</w:t>
      </w:r>
      <w:r>
        <w:rPr>
          <w:rFonts w:ascii="Arial" w:cs="Arial" w:eastAsia="Arial" w:hAnsi="Arial"/>
          <w:sz w:val="16"/>
          <w:szCs w:val="16"/>
          <w:color w:val="auto"/>
        </w:rPr>
        <w:t>–Because the Company has not had an active trading market for its common stock for a sufficient period of time, the expected volatility is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volatility for comparable publicly-traded companies, over a period equal to the expected term of the stock option grants.</w:t>
      </w:r>
    </w:p>
    <w:p>
      <w:pPr>
        <w:spacing w:after="0" w:line="16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assumption is based on the U.S. Treasury zero coupon issues in effect at the time of grant for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–The Company has never paid dividends on its common stock and does not anticipate paying dividends on common stock for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Therefore, the Company uses an expected dividend yield of zero.</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assumptions were used to estimate the fair value of options granted:</w:t>
      </w:r>
    </w:p>
    <w:p>
      <w:pPr>
        <w:spacing w:after="0" w:line="276" w:lineRule="exact"/>
        <w:rPr>
          <w:sz w:val="20"/>
          <w:szCs w:val="20"/>
          <w:color w:val="auto"/>
        </w:rPr>
      </w:pPr>
    </w:p>
    <w:p>
      <w:pPr>
        <w:ind w:left="8100"/>
        <w:spacing w:after="0"/>
        <w:rPr>
          <w:sz w:val="20"/>
          <w:szCs w:val="20"/>
          <w:color w:val="auto"/>
        </w:rPr>
      </w:pPr>
      <w:r>
        <w:rPr>
          <w:rFonts w:ascii="Arial" w:cs="Arial" w:eastAsia="Arial" w:hAnsi="Arial"/>
          <w:sz w:val="17"/>
          <w:szCs w:val="17"/>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2023</w:t>
            </w:r>
          </w:p>
        </w:tc>
      </w:tr>
      <w:tr>
        <w:trPr>
          <w:trHeight w:val="212"/>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560" w:type="dxa"/>
            <w:vAlign w:val="bottom"/>
            <w:shd w:val="clear" w:color="auto" w:fill="CCEEFF"/>
          </w:tcPr>
          <w:p>
            <w:pPr>
              <w:jc w:val="center"/>
              <w:ind w:left="234"/>
              <w:spacing w:after="0"/>
              <w:rPr>
                <w:sz w:val="20"/>
                <w:szCs w:val="20"/>
                <w:color w:val="auto"/>
              </w:rPr>
            </w:pPr>
            <w:r>
              <w:rPr>
                <w:rFonts w:ascii="Arial" w:cs="Arial" w:eastAsia="Arial" w:hAnsi="Arial"/>
                <w:sz w:val="17"/>
                <w:szCs w:val="17"/>
                <w:color w:val="auto"/>
                <w:w w:val="84"/>
              </w:rPr>
              <w:t>5.2</w:t>
            </w:r>
          </w:p>
        </w:tc>
        <w:tc>
          <w:tcPr>
            <w:tcW w:w="11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 7.0</w:t>
            </w:r>
          </w:p>
        </w:tc>
        <w:tc>
          <w:tcPr>
            <w:tcW w:w="1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5.3 – 7.0</w:t>
            </w:r>
          </w:p>
        </w:tc>
      </w:tr>
      <w:tr>
        <w:trPr>
          <w:trHeight w:val="218"/>
        </w:trPr>
        <w:tc>
          <w:tcPr>
            <w:tcW w:w="7640" w:type="dxa"/>
            <w:vAlign w:val="bottom"/>
            <w:gridSpan w:val="3"/>
          </w:tcPr>
          <w:p>
            <w:pPr>
              <w:ind w:left="20"/>
              <w:spacing w:after="0"/>
              <w:rPr>
                <w:sz w:val="20"/>
                <w:szCs w:val="20"/>
                <w:color w:val="auto"/>
              </w:rPr>
            </w:pPr>
            <w:r>
              <w:rPr>
                <w:rFonts w:ascii="Arial" w:cs="Arial" w:eastAsia="Arial" w:hAnsi="Arial"/>
                <w:sz w:val="17"/>
                <w:szCs w:val="17"/>
                <w:color w:val="auto"/>
              </w:rPr>
              <w:t>Expected volatility</w:t>
            </w:r>
          </w:p>
        </w:tc>
        <w:tc>
          <w:tcPr>
            <w:tcW w:w="560" w:type="dxa"/>
            <w:vAlign w:val="bottom"/>
          </w:tcPr>
          <w:p>
            <w:pPr>
              <w:jc w:val="right"/>
              <w:spacing w:after="0"/>
              <w:rPr>
                <w:sz w:val="20"/>
                <w:szCs w:val="20"/>
                <w:color w:val="auto"/>
              </w:rPr>
            </w:pPr>
            <w:r>
              <w:rPr>
                <w:rFonts w:ascii="Arial" w:cs="Arial" w:eastAsia="Arial" w:hAnsi="Arial"/>
                <w:sz w:val="17"/>
                <w:szCs w:val="17"/>
                <w:color w:val="auto"/>
                <w:w w:val="90"/>
              </w:rPr>
              <w:t>47.58%</w:t>
            </w:r>
          </w:p>
        </w:tc>
        <w:tc>
          <w:tcPr>
            <w:tcW w:w="1120" w:type="dxa"/>
            <w:vAlign w:val="bottom"/>
            <w:gridSpan w:val="4"/>
          </w:tcPr>
          <w:p>
            <w:pPr>
              <w:ind w:left="40"/>
              <w:spacing w:after="0"/>
              <w:rPr>
                <w:sz w:val="20"/>
                <w:szCs w:val="20"/>
                <w:color w:val="auto"/>
              </w:rPr>
            </w:pPr>
            <w:r>
              <w:rPr>
                <w:rFonts w:ascii="Arial" w:cs="Arial" w:eastAsia="Arial" w:hAnsi="Arial"/>
                <w:sz w:val="17"/>
                <w:szCs w:val="17"/>
                <w:color w:val="auto"/>
              </w:rPr>
              <w:t>– 48.72%</w:t>
            </w:r>
          </w:p>
        </w:tc>
        <w:tc>
          <w:tcPr>
            <w:tcW w:w="1920" w:type="dxa"/>
            <w:vAlign w:val="bottom"/>
          </w:tcPr>
          <w:p>
            <w:pPr>
              <w:jc w:val="center"/>
              <w:spacing w:after="0"/>
              <w:rPr>
                <w:sz w:val="20"/>
                <w:szCs w:val="20"/>
                <w:color w:val="auto"/>
              </w:rPr>
            </w:pPr>
            <w:r>
              <w:rPr>
                <w:rFonts w:ascii="Arial" w:cs="Arial" w:eastAsia="Arial" w:hAnsi="Arial"/>
                <w:sz w:val="17"/>
                <w:szCs w:val="17"/>
                <w:color w:val="auto"/>
                <w:w w:val="92"/>
              </w:rPr>
              <w:t>50.96% – 52.89%</w:t>
            </w:r>
          </w:p>
        </w:tc>
      </w:tr>
      <w:tr>
        <w:trPr>
          <w:trHeight w:val="220"/>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1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 2.16%</w:t>
            </w:r>
          </w:p>
        </w:tc>
        <w:tc>
          <w:tcPr>
            <w:tcW w:w="1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3.45% – 3.45%</w:t>
            </w:r>
          </w:p>
        </w:tc>
      </w:tr>
      <w:tr>
        <w:trPr>
          <w:trHeight w:val="218"/>
        </w:trPr>
        <w:tc>
          <w:tcPr>
            <w:tcW w:w="7640" w:type="dxa"/>
            <w:vAlign w:val="bottom"/>
            <w:gridSpan w:val="3"/>
          </w:tcPr>
          <w:p>
            <w:pPr>
              <w:ind w:left="20"/>
              <w:spacing w:after="0"/>
              <w:rPr>
                <w:sz w:val="20"/>
                <w:szCs w:val="20"/>
                <w:color w:val="auto"/>
              </w:rPr>
            </w:pPr>
            <w:r>
              <w:rPr>
                <w:rFonts w:ascii="Arial" w:cs="Arial" w:eastAsia="Arial" w:hAnsi="Arial"/>
                <w:sz w:val="17"/>
                <w:szCs w:val="17"/>
                <w:color w:val="auto"/>
              </w:rPr>
              <w:t>Dividend yield</w:t>
            </w:r>
          </w:p>
        </w:tc>
        <w:tc>
          <w:tcPr>
            <w:tcW w:w="1680" w:type="dxa"/>
            <w:vAlign w:val="bottom"/>
            <w:gridSpan w:val="5"/>
          </w:tcPr>
          <w:p>
            <w:pPr>
              <w:jc w:val="center"/>
              <w:ind w:right="400"/>
              <w:spacing w:after="0"/>
              <w:rPr>
                <w:sz w:val="20"/>
                <w:szCs w:val="20"/>
                <w:color w:val="auto"/>
              </w:rPr>
            </w:pPr>
            <w:r>
              <w:rPr>
                <w:rFonts w:ascii="Arial" w:cs="Arial" w:eastAsia="Arial" w:hAnsi="Arial"/>
                <w:sz w:val="17"/>
                <w:szCs w:val="17"/>
                <w:color w:val="auto"/>
                <w:w w:val="99"/>
              </w:rPr>
              <w:t>—%</w:t>
            </w:r>
          </w:p>
        </w:tc>
        <w:tc>
          <w:tcPr>
            <w:tcW w:w="1920" w:type="dxa"/>
            <w:vAlign w:val="bottom"/>
          </w:tcPr>
          <w:p>
            <w:pPr>
              <w:jc w:val="center"/>
              <w:spacing w:after="0"/>
              <w:rPr>
                <w:sz w:val="20"/>
                <w:szCs w:val="20"/>
                <w:color w:val="auto"/>
              </w:rPr>
            </w:pPr>
            <w:r>
              <w:rPr>
                <w:rFonts w:ascii="Arial" w:cs="Arial" w:eastAsia="Arial" w:hAnsi="Arial"/>
                <w:sz w:val="17"/>
                <w:szCs w:val="17"/>
                <w:color w:val="auto"/>
                <w:w w:val="99"/>
              </w:rPr>
              <w:t>—%</w:t>
            </w:r>
          </w:p>
        </w:tc>
      </w:tr>
      <w:tr>
        <w:trPr>
          <w:trHeight w:val="761"/>
        </w:trPr>
        <w:tc>
          <w:tcPr>
            <w:tcW w:w="7640" w:type="dxa"/>
            <w:vAlign w:val="bottom"/>
            <w:gridSpan w:val="3"/>
          </w:tcPr>
          <w:p>
            <w:pPr>
              <w:ind w:left="620"/>
              <w:spacing w:after="0"/>
              <w:rPr>
                <w:sz w:val="20"/>
                <w:szCs w:val="20"/>
                <w:color w:val="auto"/>
              </w:rPr>
            </w:pPr>
            <w:r>
              <w:rPr>
                <w:rFonts w:ascii="Arial" w:cs="Arial" w:eastAsia="Arial" w:hAnsi="Arial"/>
                <w:sz w:val="17"/>
                <w:szCs w:val="17"/>
                <w:color w:val="auto"/>
                <w:w w:val="91"/>
              </w:rPr>
              <w:t>The following assumptions were used to estimate the fair value of the February 2022 PRSUs granted:</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9"/>
        </w:trPr>
        <w:tc>
          <w:tcPr>
            <w:tcW w:w="706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9"/>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84"/>
              </w:rPr>
              <w:t>6.9</w:t>
            </w:r>
          </w:p>
        </w:tc>
      </w:tr>
      <w:tr>
        <w:trPr>
          <w:trHeight w:val="218"/>
        </w:trPr>
        <w:tc>
          <w:tcPr>
            <w:tcW w:w="7640" w:type="dxa"/>
            <w:vAlign w:val="bottom"/>
            <w:gridSpan w:val="3"/>
          </w:tcPr>
          <w:p>
            <w:pPr>
              <w:ind w:left="20"/>
              <w:spacing w:after="0"/>
              <w:rPr>
                <w:sz w:val="20"/>
                <w:szCs w:val="20"/>
                <w:color w:val="auto"/>
              </w:rPr>
            </w:pPr>
            <w:r>
              <w:rPr>
                <w:rFonts w:ascii="Arial" w:cs="Arial" w:eastAsia="Arial" w:hAnsi="Arial"/>
                <w:sz w:val="17"/>
                <w:szCs w:val="17"/>
                <w:color w:val="auto"/>
              </w:rPr>
              <w:t>Expected volatility</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center"/>
              <w:ind w:left="34"/>
              <w:spacing w:after="0"/>
              <w:rPr>
                <w:sz w:val="20"/>
                <w:szCs w:val="20"/>
                <w:color w:val="auto"/>
              </w:rPr>
            </w:pPr>
            <w:r>
              <w:rPr>
                <w:rFonts w:ascii="Arial" w:cs="Arial" w:eastAsia="Arial" w:hAnsi="Arial"/>
                <w:sz w:val="17"/>
                <w:szCs w:val="17"/>
                <w:color w:val="auto"/>
                <w:w w:val="90"/>
              </w:rPr>
              <w:t>48.43%</w:t>
            </w:r>
          </w:p>
        </w:tc>
      </w:tr>
      <w:tr>
        <w:trPr>
          <w:trHeight w:val="220"/>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1"/>
              </w:rPr>
              <w:t>1.89%</w:t>
            </w:r>
          </w:p>
        </w:tc>
      </w:tr>
      <w:tr>
        <w:trPr>
          <w:trHeight w:val="218"/>
        </w:trPr>
        <w:tc>
          <w:tcPr>
            <w:tcW w:w="7640" w:type="dxa"/>
            <w:vAlign w:val="bottom"/>
            <w:gridSpan w:val="3"/>
          </w:tcPr>
          <w:p>
            <w:pPr>
              <w:ind w:left="20"/>
              <w:spacing w:after="0"/>
              <w:rPr>
                <w:sz w:val="20"/>
                <w:szCs w:val="20"/>
                <w:color w:val="auto"/>
              </w:rPr>
            </w:pPr>
            <w:r>
              <w:rPr>
                <w:rFonts w:ascii="Arial" w:cs="Arial" w:eastAsia="Arial" w:hAnsi="Arial"/>
                <w:sz w:val="17"/>
                <w:szCs w:val="17"/>
                <w:color w:val="auto"/>
              </w:rPr>
              <w:t>Dividend yield</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center"/>
              <w:ind w:left="34"/>
              <w:spacing w:after="0"/>
              <w:rPr>
                <w:sz w:val="20"/>
                <w:szCs w:val="20"/>
                <w:color w:val="auto"/>
              </w:rPr>
            </w:pPr>
            <w:r>
              <w:rPr>
                <w:rFonts w:ascii="Arial" w:cs="Arial" w:eastAsia="Arial" w:hAnsi="Arial"/>
                <w:sz w:val="17"/>
                <w:szCs w:val="17"/>
                <w:color w:val="auto"/>
                <w:w w:val="97"/>
              </w:rPr>
              <w:t>0%</w:t>
            </w:r>
          </w:p>
        </w:tc>
      </w:tr>
      <w:tr>
        <w:trPr>
          <w:trHeight w:val="516"/>
        </w:trPr>
        <w:tc>
          <w:tcPr>
            <w:tcW w:w="7640" w:type="dxa"/>
            <w:vAlign w:val="bottom"/>
            <w:gridSpan w:val="3"/>
          </w:tcPr>
          <w:p>
            <w:pPr>
              <w:ind w:left="620"/>
              <w:spacing w:after="0"/>
              <w:rPr>
                <w:sz w:val="20"/>
                <w:szCs w:val="20"/>
                <w:color w:val="auto"/>
              </w:rPr>
            </w:pPr>
            <w:r>
              <w:rPr>
                <w:rFonts w:ascii="Arial" w:cs="Arial" w:eastAsia="Arial" w:hAnsi="Arial"/>
                <w:sz w:val="17"/>
                <w:szCs w:val="17"/>
                <w:color w:val="auto"/>
              </w:rPr>
              <w:t>The following assumptions were used to estimate the fair value of ESPP purchase rights: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52"/>
        </w:trPr>
        <w:tc>
          <w:tcPr>
            <w:tcW w:w="7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ind w:left="340"/>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7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94"/>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5"/>
              </w:rPr>
              <w:t>2023</w:t>
            </w:r>
          </w:p>
        </w:tc>
      </w:tr>
      <w:tr>
        <w:trPr>
          <w:trHeight w:val="212"/>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560" w:type="dxa"/>
            <w:vAlign w:val="bottom"/>
            <w:shd w:val="clear" w:color="auto" w:fill="CCEEFF"/>
          </w:tcPr>
          <w:p>
            <w:pPr>
              <w:jc w:val="center"/>
              <w:ind w:left="234"/>
              <w:spacing w:after="0"/>
              <w:rPr>
                <w:sz w:val="20"/>
                <w:szCs w:val="20"/>
                <w:color w:val="auto"/>
              </w:rPr>
            </w:pPr>
            <w:r>
              <w:rPr>
                <w:rFonts w:ascii="Arial" w:cs="Arial" w:eastAsia="Arial" w:hAnsi="Arial"/>
                <w:sz w:val="17"/>
                <w:szCs w:val="17"/>
                <w:color w:val="auto"/>
                <w:w w:val="84"/>
              </w:rPr>
              <w:t>0.5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4"/>
              </w:rPr>
              <w:t>0.5</w:t>
            </w:r>
          </w:p>
        </w:tc>
      </w:tr>
      <w:tr>
        <w:trPr>
          <w:trHeight w:val="218"/>
        </w:trPr>
        <w:tc>
          <w:tcPr>
            <w:tcW w:w="7640" w:type="dxa"/>
            <w:vAlign w:val="bottom"/>
            <w:gridSpan w:val="3"/>
          </w:tcPr>
          <w:p>
            <w:pPr>
              <w:ind w:left="20"/>
              <w:spacing w:after="0"/>
              <w:rPr>
                <w:sz w:val="20"/>
                <w:szCs w:val="20"/>
                <w:color w:val="auto"/>
              </w:rPr>
            </w:pPr>
            <w:r>
              <w:rPr>
                <w:rFonts w:ascii="Arial" w:cs="Arial" w:eastAsia="Arial" w:hAnsi="Arial"/>
                <w:sz w:val="17"/>
                <w:szCs w:val="17"/>
                <w:color w:val="auto"/>
              </w:rPr>
              <w:t>Expected volatility</w:t>
            </w:r>
          </w:p>
        </w:tc>
        <w:tc>
          <w:tcPr>
            <w:tcW w:w="1460" w:type="dxa"/>
            <w:vAlign w:val="bottom"/>
            <w:gridSpan w:val="2"/>
          </w:tcPr>
          <w:p>
            <w:pPr>
              <w:jc w:val="center"/>
              <w:ind w:right="494"/>
              <w:spacing w:after="0"/>
              <w:rPr>
                <w:sz w:val="20"/>
                <w:szCs w:val="20"/>
                <w:color w:val="auto"/>
              </w:rPr>
            </w:pPr>
            <w:r>
              <w:rPr>
                <w:rFonts w:ascii="Arial" w:cs="Arial" w:eastAsia="Arial" w:hAnsi="Arial"/>
                <w:sz w:val="17"/>
                <w:szCs w:val="17"/>
                <w:color w:val="auto"/>
                <w:w w:val="90"/>
              </w:rPr>
              <w:t>91.98%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center"/>
              <w:ind w:right="34"/>
              <w:spacing w:after="0"/>
              <w:rPr>
                <w:sz w:val="20"/>
                <w:szCs w:val="20"/>
                <w:color w:val="auto"/>
              </w:rPr>
            </w:pPr>
            <w:r>
              <w:rPr>
                <w:rFonts w:ascii="Arial" w:cs="Arial" w:eastAsia="Arial" w:hAnsi="Arial"/>
                <w:sz w:val="17"/>
                <w:szCs w:val="17"/>
                <w:color w:val="auto"/>
                <w:w w:val="90"/>
              </w:rPr>
              <w:t>97.74%</w:t>
            </w:r>
          </w:p>
        </w:tc>
      </w:tr>
      <w:tr>
        <w:trPr>
          <w:trHeight w:val="220"/>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460" w:type="dxa"/>
            <w:vAlign w:val="bottom"/>
            <w:gridSpan w:val="2"/>
            <w:shd w:val="clear" w:color="auto" w:fill="CCEEFF"/>
          </w:tcPr>
          <w:p>
            <w:pPr>
              <w:jc w:val="center"/>
              <w:ind w:right="494"/>
              <w:spacing w:after="0"/>
              <w:rPr>
                <w:sz w:val="20"/>
                <w:szCs w:val="20"/>
                <w:color w:val="auto"/>
              </w:rPr>
            </w:pPr>
            <w:r>
              <w:rPr>
                <w:rFonts w:ascii="Arial" w:cs="Arial" w:eastAsia="Arial" w:hAnsi="Arial"/>
                <w:sz w:val="17"/>
                <w:szCs w:val="17"/>
                <w:color w:val="auto"/>
                <w:w w:val="91"/>
              </w:rPr>
              <w:t>0.72%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91"/>
              </w:rPr>
              <w:t>4.97%</w:t>
            </w:r>
          </w:p>
        </w:tc>
      </w:tr>
      <w:tr>
        <w:trPr>
          <w:trHeight w:val="218"/>
        </w:trPr>
        <w:tc>
          <w:tcPr>
            <w:tcW w:w="7640" w:type="dxa"/>
            <w:vAlign w:val="bottom"/>
            <w:gridSpan w:val="3"/>
          </w:tcPr>
          <w:p>
            <w:pPr>
              <w:ind w:left="20"/>
              <w:spacing w:after="0"/>
              <w:rPr>
                <w:sz w:val="20"/>
                <w:szCs w:val="20"/>
                <w:color w:val="auto"/>
              </w:rPr>
            </w:pPr>
            <w:r>
              <w:rPr>
                <w:rFonts w:ascii="Arial" w:cs="Arial" w:eastAsia="Arial" w:hAnsi="Arial"/>
                <w:sz w:val="17"/>
                <w:szCs w:val="17"/>
                <w:color w:val="auto"/>
              </w:rPr>
              <w:t>Dividend yield</w:t>
            </w:r>
          </w:p>
        </w:tc>
        <w:tc>
          <w:tcPr>
            <w:tcW w:w="1680" w:type="dxa"/>
            <w:vAlign w:val="bottom"/>
            <w:gridSpan w:val="5"/>
          </w:tcPr>
          <w:p>
            <w:pPr>
              <w:jc w:val="center"/>
              <w:ind w:right="800"/>
              <w:spacing w:after="0"/>
              <w:rPr>
                <w:sz w:val="20"/>
                <w:szCs w:val="20"/>
                <w:color w:val="auto"/>
              </w:rPr>
            </w:pPr>
            <w:r>
              <w:rPr>
                <w:rFonts w:ascii="Arial" w:cs="Arial" w:eastAsia="Arial" w:hAnsi="Arial"/>
                <w:sz w:val="17"/>
                <w:szCs w:val="17"/>
                <w:color w:val="auto"/>
                <w:w w:val="99"/>
              </w:rPr>
              <w:t>—%</w:t>
            </w:r>
          </w:p>
        </w:tc>
        <w:tc>
          <w:tcPr>
            <w:tcW w:w="1920" w:type="dxa"/>
            <w:vAlign w:val="bottom"/>
          </w:tcPr>
          <w:p>
            <w:pPr>
              <w:jc w:val="center"/>
              <w:ind w:right="34"/>
              <w:spacing w:after="0"/>
              <w:rPr>
                <w:sz w:val="20"/>
                <w:szCs w:val="20"/>
                <w:color w:val="auto"/>
              </w:rPr>
            </w:pPr>
            <w:r>
              <w:rPr>
                <w:rFonts w:ascii="Arial" w:cs="Arial" w:eastAsia="Arial" w:hAnsi="Arial"/>
                <w:sz w:val="17"/>
                <w:szCs w:val="17"/>
                <w:color w:val="auto"/>
                <w:w w:val="99"/>
              </w:rPr>
              <w:t>—%</w:t>
            </w:r>
          </w:p>
        </w:tc>
      </w:tr>
    </w:tbl>
    <w:p>
      <w:pPr>
        <w:spacing w:after="0" w:line="2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recorded stock-based compensation in the following expense categories in its condensed consolidated statements of operations and comprehensive income (loss) for employees and nonemployees: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00" w:type="dxa"/>
            <w:vAlign w:val="bottom"/>
          </w:tcPr>
          <w:p>
            <w:pPr>
              <w:spacing w:after="0"/>
              <w:rPr>
                <w:sz w:val="19"/>
                <w:szCs w:val="19"/>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r>
      <w:tr>
        <w:trPr>
          <w:trHeight w:val="213"/>
        </w:trPr>
        <w:tc>
          <w:tcPr>
            <w:tcW w:w="77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3,372</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Customer operations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1,619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2,882</w:t>
            </w:r>
          </w:p>
        </w:tc>
      </w:tr>
      <w:tr>
        <w:trPr>
          <w:trHeight w:val="220"/>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Engineering and product development</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13,634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56,660</w:t>
            </w:r>
          </w:p>
        </w:tc>
      </w:tr>
      <w:tr>
        <w:trPr>
          <w:trHeight w:val="218"/>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administrative, and other</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7,559</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11,195</w:t>
            </w:r>
          </w:p>
        </w:tc>
      </w:tr>
      <w:tr>
        <w:trPr>
          <w:trHeight w:val="238"/>
        </w:trPr>
        <w:tc>
          <w:tcPr>
            <w:tcW w:w="7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25,050</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74,109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4"/>
          <w:szCs w:val="14"/>
          <w:b w:val="1"/>
          <w:b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Company’s operating leases expire between 2027 and 2032 and are primarily for its corporate headquarters in San Mateo, California and Columbus, Ohio, as well as additional office space in Columbus, Ohio 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 For leases where the Company is reasonably certain to exercise a renewal option, such option periods have been included in the determination of the Company’s ROU assets and lease liabilities on our condensed consolidated balance sheets.</w:t>
      </w:r>
    </w:p>
    <w:p>
      <w:pPr>
        <w:spacing w:after="0" w:line="19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Pr>
          <w:p>
            <w:pPr>
              <w:ind w:left="620"/>
              <w:spacing w:after="0"/>
              <w:rPr>
                <w:sz w:val="20"/>
                <w:szCs w:val="20"/>
                <w:color w:val="auto"/>
              </w:rPr>
            </w:pPr>
            <w:r>
              <w:rPr>
                <w:rFonts w:ascii="Arial" w:cs="Arial" w:eastAsia="Arial" w:hAnsi="Arial"/>
                <w:sz w:val="17"/>
                <w:szCs w:val="17"/>
                <w:color w:val="auto"/>
              </w:rPr>
              <w:t>As of March 31, 2023, future minimum lease payments are as follows: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52"/>
        </w:trPr>
        <w:tc>
          <w:tcPr>
            <w:tcW w:w="96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1"/>
              </w:rPr>
              <w:t>Operating Leases</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11,426</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17,054</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17,544</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18,055</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17,745</w:t>
            </w:r>
          </w:p>
        </w:tc>
      </w:tr>
      <w:tr>
        <w:trPr>
          <w:trHeight w:val="218"/>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34,816</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undiscounted lease payments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116,640</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Less: Tenant improvement receivables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(2,375)</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Present value adjustment</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(15,215)</w:t>
            </w:r>
          </w:p>
        </w:tc>
      </w:tr>
      <w:tr>
        <w:trPr>
          <w:trHeight w:val="213"/>
        </w:trPr>
        <w:tc>
          <w:tcPr>
            <w:tcW w:w="960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99,050</w:t>
            </w: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did not have any material finance leases in any period presented. The Company’s operating lease expense consists of rent and variable lease payments. Variable lease payments such as common area maintenance and parking fees, were included in operating expenses. Rent expense for the Company’s short-term leases was immaterial for the periods presented. Operating lease expense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0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r>
      <w:tr>
        <w:trPr>
          <w:trHeight w:val="213"/>
        </w:trPr>
        <w:tc>
          <w:tcPr>
            <w:tcW w:w="7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 expense</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4,038</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Variable lease payments</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866</w:t>
            </w:r>
          </w:p>
        </w:tc>
        <w:tc>
          <w:tcPr>
            <w:tcW w:w="100" w:type="dxa"/>
            <w:vAlign w:val="bottom"/>
          </w:tcPr>
          <w:p>
            <w:pPr>
              <w:spacing w:after="0"/>
              <w:rPr>
                <w:sz w:val="18"/>
                <w:szCs w:val="18"/>
                <w:color w:val="auto"/>
              </w:rPr>
            </w:pPr>
          </w:p>
        </w:tc>
        <w:tc>
          <w:tcPr>
            <w:tcW w:w="1200" w:type="dxa"/>
            <w:vAlign w:val="bottom"/>
          </w:tcPr>
          <w:p>
            <w:pPr>
              <w:jc w:val="right"/>
              <w:ind w:right="1014"/>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976</w:t>
            </w:r>
          </w:p>
        </w:tc>
      </w:tr>
    </w:tbl>
    <w:p>
      <w:pPr>
        <w:spacing w:after="0" w:line="2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cash flow and non-cash information related to the Company’s operating leases was as follows: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66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40" w:type="dxa"/>
            <w:vAlign w:val="bottom"/>
            <w:tcBorders>
              <w:bottom w:val="single" w:sz="8" w:color="auto"/>
            </w:tcBorders>
          </w:tcPr>
          <w:p>
            <w:pPr>
              <w:spacing w:after="0"/>
              <w:rPr>
                <w:sz w:val="19"/>
                <w:szCs w:val="19"/>
                <w:color w:val="auto"/>
              </w:rPr>
            </w:pPr>
          </w:p>
        </w:tc>
      </w:tr>
      <w:tr>
        <w:trPr>
          <w:trHeight w:val="213"/>
        </w:trPr>
        <w:tc>
          <w:tcPr>
            <w:tcW w:w="76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12"/>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3,665</w:t>
            </w: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balance sheet information related to the Company’s operating leases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00" w:type="dxa"/>
            <w:vAlign w:val="bottom"/>
          </w:tcPr>
          <w:p>
            <w:pPr>
              <w:spacing w:after="0"/>
              <w:rPr>
                <w:sz w:val="19"/>
                <w:szCs w:val="19"/>
                <w:color w:val="auto"/>
              </w:rPr>
            </w:pPr>
          </w:p>
        </w:tc>
        <w:tc>
          <w:tcPr>
            <w:tcW w:w="1640" w:type="dxa"/>
            <w:vAlign w:val="bottom"/>
          </w:tcPr>
          <w:p>
            <w:pPr>
              <w:ind w:left="460"/>
              <w:spacing w:after="0"/>
              <w:rPr>
                <w:sz w:val="20"/>
                <w:szCs w:val="20"/>
                <w:color w:val="auto"/>
              </w:rPr>
            </w:pPr>
            <w:r>
              <w:rPr>
                <w:rFonts w:ascii="Arial" w:cs="Arial" w:eastAsia="Arial" w:hAnsi="Arial"/>
                <w:sz w:val="17"/>
                <w:szCs w:val="17"/>
                <w:b w:val="1"/>
                <w:bCs w:val="1"/>
                <w:color w:val="auto"/>
              </w:rPr>
              <w:t>March 31,</w:t>
            </w:r>
          </w:p>
        </w:tc>
      </w:tr>
      <w:tr>
        <w:trPr>
          <w:trHeight w:val="224"/>
        </w:trPr>
        <w:tc>
          <w:tcPr>
            <w:tcW w:w="96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2023</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7.08</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640" w:type="dxa"/>
            <w:vAlign w:val="bottom"/>
          </w:tcPr>
          <w:p>
            <w:pPr>
              <w:jc w:val="center"/>
              <w:spacing w:after="0"/>
              <w:rPr>
                <w:sz w:val="20"/>
                <w:szCs w:val="20"/>
                <w:color w:val="auto"/>
              </w:rPr>
            </w:pPr>
            <w:r>
              <w:rPr>
                <w:rFonts w:ascii="Arial" w:cs="Arial" w:eastAsia="Arial" w:hAnsi="Arial"/>
                <w:sz w:val="17"/>
                <w:szCs w:val="17"/>
                <w:color w:val="auto"/>
                <w:w w:val="91"/>
              </w:rPr>
              <w:t>3.85%</w:t>
            </w:r>
          </w:p>
        </w:tc>
      </w:tr>
    </w:tbl>
    <w:p>
      <w:pPr>
        <w:spacing w:after="0" w:line="200" w:lineRule="exact"/>
        <w:rPr>
          <w:sz w:val="20"/>
          <w:szCs w:val="20"/>
          <w:color w:val="auto"/>
        </w:rPr>
      </w:pPr>
    </w:p>
    <w:p>
      <w:pPr>
        <w:spacing w:after="0" w:line="312"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Commitments and Contingencies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Commitments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2022 and March 31, 2023, the total loan purchase commitment included outstanding principal balance of $17.8 million and $15.3 million, respectively.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Contingencies</w:t>
      </w:r>
    </w:p>
    <w:p>
      <w:pPr>
        <w:spacing w:after="0" w:line="21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described below, the Company does not believe that it is presently a party to any litigation of which the outcome would individually, or taken together, have a material adverse effect on our business, operating results, cash flows, or financial condition. As of December 31, 2022 and March 31, 2023, no loss contingency has been recorded in connection with legal proceedings.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Indemnifications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Repurchases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the terms of certain loan-level representations and warranties that speak as of the time of origination or sale,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failure to comply with other contractual terms with the institutional investors, or a violation of the applicable federal, state, or local lending laws.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maximum potential amount of future payments associated under this obligation is the outstanding balances of the loans sold to the institutional investors, which at December 31, 2022 and March 31, 2023 is $15,551.1 million and $14,447.8 million, respectively. Actual payments made relating to the Company’s repurchase and indemnification obligations were immaterial. The Company has recorded contingent liabilities as of December 31, 2022 and March 31, 2023 of immaterial amounts to cover estimated future obligations related to these contractual terms. These amounts are included in accrued expenses and other liabilities on the Company’s condensed consolidated balance sheets.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Legal</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May 13, 2022, a purported class action lawsuit was filed in the United States District Court, Northern District of California, captioned Ward v. Upstart Holdings, Inc., et al., Case No. 5:22-cv-02856-BLF (N.D. Cal.) against the Company, the Company’s Chief Executive Officer, and Chief Financial Officer alleging, among other things, that the defendants made false and/or misleading statements or omissions about the Company’s business, operations, and prospects in violation of Section 10(b) of the Securities Exchange Act of 1934, as amended (the “Exchange Act”) and Rule 10b-5 promulgated thereunder, as well as Section 20(a) of the Exchange Act. The Ward lawsuit claimed unspecified damages and legal fees.</w:t>
      </w:r>
    </w:p>
    <w:p>
      <w:pPr>
        <w:spacing w:after="0" w:line="20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Between May 19, 2022 and June 22, 2022, two additional related purported class action lawsuits were filed in the United States District Court, Northern District of California, captioned Plymouth County Retirement Association v. Upstart Holdings, Inc., et al., Case No. 3:22-cv-02973-WHO (N.D. Cal.) and Zhang v. Upstart Holdings, Inc., et al., Case No. 3:22-cv-03668-JD (N.D. Cal.). On July 7, 2022, a related purported class action lawsuit was filed in the United States District Court, Southern District of Ohio, captioned Handelsbanken Fonder AB v. Upstart Holdings, Inc., et al., Case No. 2:22-cv-02706-SDM-EPD (S.D. Ohio). The Zhang, Plymouth County, and Handelsbanken Fonder actions named the same defendants and made similar allegations to those in the Ward action.</w:t>
      </w:r>
    </w:p>
    <w:p>
      <w:pPr>
        <w:spacing w:after="0" w:line="17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July 11, 2022, plaintiffs in the Zhang and Plymouth County actions filed notices voluntarily dismissing their lawsuits without prejudice. On July 12, 2022, motions to appoint lead plaintiff and lead counsel were filed in both the Ward action and the Handelsbanken Fonder action. On July 26, 2022, plaintiff in the Ward action filed a notice voluntarily dismissing his lawsuit without prejudice, and on July 27, 2022, plaintiff in the Handelsbanken Fonder action filed a notice voluntarily dismissing its lawsuit without prejudice.</w:t>
      </w:r>
    </w:p>
    <w:p>
      <w:pPr>
        <w:spacing w:after="0" w:line="191"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On July 26, 2022, an additional lawsuit was filed in United States District Court, Southern District of Ohio, captioned Crain v. Upstart Holdings, Inc. et al., Case No. 2:22-cv-02935-ALM-EPD (S.D. Ohio) against the Company, the Company’s Chief Executive Officer, and Chief Financial Officer. The Crain lawsuit makes allegations similar to those in the Handelsbanken Fonder action and alleges that the defendants made false and/or misleading statements or omissions about the Company’s business, operations, and prospects in violation of Section 10(b) of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defendants filed a motion to dismiss the consolidated amended complaint. No hearing date has been set for that motion.</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July 28, 2022, a derivative lawsuit was filed in United States District Court, Southern District of Ohio, captioned OConnor v. Huber et al., Case No.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2:22-cv-02961-EAS-KAJ (S.D. Ohio). The OConnor action includes allegations similar to those in the Crain complaint, and names as defendants each of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Company’s current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On October 7, 2022, a second derivative lawsuit was filed in United States District Court, Southern District of Ohio, captioned Chung v. Huber et al., No.</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2:22-cv-03620-MHW-CMV (S.D. Ohio). The Chung action includes allegations similar to those in the OConnor complaint, and names as defendants each of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Company’s current board members, a former board member, and its Chief Financial Officer. The Company is named as a nominal defendant. The Chung action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includes claims for violation of Section 10(b), 14(a), and 21D of the Exchange Act, breach of fiduciary duties, unjust enrichment, abuse of control, gross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mismanagement, and waste of corporate assets. The Chung action seeks unspecified monetary damages, restitution, and attorney’s fees and costs from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individual defendants. It also seeks corporate governance and internal procedure modifications.</w:t>
      </w:r>
    </w:p>
    <w:p>
      <w:pPr>
        <w:spacing w:after="0" w:line="23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On December 12, 2022, in response to a joint motion by the parties, the Court consolidated the OConnor and Chung matters, appointed co-lead counsel, and stayed the consolidated case until resolution of the related Crain securities class action.</w:t>
      </w:r>
    </w:p>
    <w:p>
      <w:pPr>
        <w:spacing w:after="0" w:line="177" w:lineRule="exact"/>
        <w:rPr>
          <w:sz w:val="20"/>
          <w:szCs w:val="20"/>
          <w:color w:val="auto"/>
        </w:rPr>
      </w:pPr>
    </w:p>
    <w:p>
      <w:pPr>
        <w:jc w:val="both"/>
        <w:ind w:firstLine="619"/>
        <w:spacing w:after="0" w:line="322" w:lineRule="auto"/>
        <w:rPr>
          <w:sz w:val="20"/>
          <w:szCs w:val="20"/>
          <w:color w:val="auto"/>
        </w:rPr>
      </w:pPr>
      <w:r>
        <w:rPr>
          <w:rFonts w:ascii="Arial" w:cs="Arial" w:eastAsia="Arial" w:hAnsi="Arial"/>
          <w:sz w:val="15"/>
          <w:szCs w:val="15"/>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Crain securities class action.</w:t>
      </w:r>
    </w:p>
    <w:p>
      <w:pPr>
        <w:spacing w:after="0" w:line="20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Crain securities class action.</w:t>
      </w:r>
    </w:p>
    <w:p>
      <w:pPr>
        <w:spacing w:after="0" w:line="20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On April 5, 2023, a fifth derivative lawsuit was filed, in the Court of Chancery of the State of Delaware, captioned Okhai v. Girouard, et al., C.A. No. 2023-0401-SG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believes the claims in the above-referenced lawsuits are without merit and intends to defend itself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619"/>
        <w:spacing w:after="0" w:line="349" w:lineRule="auto"/>
        <w:rPr>
          <w:sz w:val="20"/>
          <w:szCs w:val="20"/>
          <w:color w:val="auto"/>
        </w:rPr>
      </w:pPr>
      <w:r>
        <w:rPr>
          <w:rFonts w:ascii="Arial" w:cs="Arial" w:eastAsia="Arial" w:hAnsi="Arial"/>
          <w:sz w:val="15"/>
          <w:szCs w:val="15"/>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369" w:lineRule="exact"/>
        <w:rPr>
          <w:sz w:val="20"/>
          <w:szCs w:val="20"/>
          <w:color w:val="auto"/>
        </w:rPr>
      </w:pPr>
    </w:p>
    <w:p>
      <w:pPr>
        <w:ind w:left="1360" w:hanging="386"/>
        <w:spacing w:after="0"/>
        <w:tabs>
          <w:tab w:leader="none" w:pos="13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effective tax rates for the three months ended March 31, 2022 and 2023,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80" w:type="dxa"/>
            <w:vAlign w:val="bottom"/>
          </w:tcPr>
          <w:p>
            <w:pPr>
              <w:spacing w:after="0"/>
              <w:rPr>
                <w:sz w:val="19"/>
                <w:szCs w:val="19"/>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r>
      <w:tr>
        <w:trPr>
          <w:trHeight w:val="213"/>
        </w:trPr>
        <w:tc>
          <w:tcPr>
            <w:tcW w:w="74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w:t>
            </w:r>
          </w:p>
        </w:tc>
      </w:tr>
      <w:tr>
        <w:trPr>
          <w:trHeight w:val="218"/>
        </w:trPr>
        <w:tc>
          <w:tcPr>
            <w:tcW w:w="748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0.06 %</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(0.01)%</w:t>
            </w:r>
          </w:p>
        </w:tc>
      </w:tr>
    </w:tbl>
    <w:p>
      <w:pPr>
        <w:spacing w:after="0" w:line="3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Company's tax provision and the resulting effective tax rate for interim periods is determined based upon its estimated annual effective tax rate adjusted for the effect of discrete items arising during the period. The decrease in the effective tax rate for the three months ended March 31, 2023, compared to the three months ended March 31, 2022, was primarily driven by a decrease in the Company's state tax liabilities in 2023. The effective tax rate differs from the U.S. statutory tax rate primarily due to the valuation allowance on the Company’s deferred tax assets as it is more likely than not that some or all of these deferred tax assets will not be realized.</w:t>
      </w:r>
    </w:p>
    <w:p>
      <w:pPr>
        <w:spacing w:after="0" w:line="200" w:lineRule="exact"/>
        <w:rPr>
          <w:sz w:val="20"/>
          <w:szCs w:val="20"/>
          <w:color w:val="auto"/>
        </w:rPr>
      </w:pPr>
    </w:p>
    <w:p>
      <w:pPr>
        <w:spacing w:after="0" w:line="209" w:lineRule="exact"/>
        <w:rPr>
          <w:sz w:val="20"/>
          <w:szCs w:val="20"/>
          <w:color w:val="auto"/>
        </w:rPr>
      </w:pPr>
    </w:p>
    <w:p>
      <w:pPr>
        <w:ind w:left="1360" w:hanging="386"/>
        <w:spacing w:after="0"/>
        <w:tabs>
          <w:tab w:leader="none" w:pos="13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(Loss) Per Share Attributable to Upstart Holdings, Inc. Common Stockholders</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Basic net income (loss) attributable to Upstart Holdings, Inc. common stockholders per common share is based on the weighted-average common shares outstanding during the relevant period. Diluted net income (loss) attributable to Upstart Holdings, Inc. common stockholders per share is based on the weighted-average common shares outstanding during the relevant period adjusted for the dilutive effect of share-based awards and convertible debt.</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For periods in which the Company reports net losses, basic and diluted net loss per share are the same because potentially dilutive common shares are not assumed to have been issued if their effect is anti-dilutive.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b w:val="1"/>
                <w:bCs w:val="1"/>
                <w:color w:val="auto"/>
              </w:rPr>
              <w:t>Three Months Ended March 31,</w:t>
            </w:r>
          </w:p>
        </w:tc>
        <w:tc>
          <w:tcPr>
            <w:tcW w:w="0" w:type="dxa"/>
            <w:vAlign w:val="bottom"/>
          </w:tcPr>
          <w:p>
            <w:pPr>
              <w:spacing w:after="0"/>
              <w:rPr>
                <w:sz w:val="1"/>
                <w:szCs w:val="1"/>
                <w:color w:val="auto"/>
              </w:rPr>
            </w:pPr>
          </w:p>
        </w:tc>
      </w:tr>
      <w:tr>
        <w:trPr>
          <w:trHeight w:val="213"/>
        </w:trPr>
        <w:tc>
          <w:tcPr>
            <w:tcW w:w="75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Numerator:</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198"/>
        </w:trPr>
        <w:tc>
          <w:tcPr>
            <w:tcW w:w="75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(129,254)</w:t>
            </w:r>
          </w:p>
        </w:tc>
        <w:tc>
          <w:tcPr>
            <w:tcW w:w="0" w:type="dxa"/>
            <w:vAlign w:val="bottom"/>
          </w:tcPr>
          <w:p>
            <w:pPr>
              <w:spacing w:after="0"/>
              <w:rPr>
                <w:sz w:val="1"/>
                <w:szCs w:val="1"/>
                <w:color w:val="auto"/>
              </w:rPr>
            </w:pPr>
          </w:p>
        </w:tc>
      </w:tr>
      <w:tr>
        <w:trPr>
          <w:trHeight w:val="219"/>
        </w:trPr>
        <w:tc>
          <w:tcPr>
            <w:tcW w:w="7540" w:type="dxa"/>
            <w:vAlign w:val="bottom"/>
            <w:gridSpan w:val="2"/>
          </w:tcPr>
          <w:p>
            <w:pPr>
              <w:ind w:left="20"/>
              <w:spacing w:after="0"/>
              <w:rPr>
                <w:sz w:val="20"/>
                <w:szCs w:val="20"/>
                <w:color w:val="auto"/>
              </w:rPr>
            </w:pPr>
            <w:r>
              <w:rPr>
                <w:rFonts w:ascii="Arial" w:cs="Arial" w:eastAsia="Arial" w:hAnsi="Arial"/>
                <w:sz w:val="17"/>
                <w:szCs w:val="17"/>
                <w:b w:val="1"/>
                <w:bCs w:val="1"/>
                <w:color w:val="auto"/>
              </w:rPr>
              <w:t>Denominator:</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 used to calculate net income (loss) per share, basic</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84,230,445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81,911,433</w:t>
            </w:r>
          </w:p>
        </w:tc>
        <w:tc>
          <w:tcPr>
            <w:tcW w:w="0" w:type="dxa"/>
            <w:vAlign w:val="bottom"/>
          </w:tcPr>
          <w:p>
            <w:pPr>
              <w:spacing w:after="0"/>
              <w:rPr>
                <w:sz w:val="1"/>
                <w:szCs w:val="1"/>
                <w:color w:val="auto"/>
              </w:rPr>
            </w:pPr>
          </w:p>
        </w:tc>
      </w:tr>
      <w:tr>
        <w:trPr>
          <w:trHeight w:val="218"/>
        </w:trPr>
        <w:tc>
          <w:tcPr>
            <w:tcW w:w="75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Weighted-average effect of dilutive securities</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11,227,331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8"/>
              </w:rPr>
              <w:t>Weighted-average common shares outstanding used to calculate net income (loss) per share, diluted</w:t>
            </w:r>
          </w:p>
        </w:tc>
        <w:tc>
          <w:tcPr>
            <w:tcW w:w="3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95,457,776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81,911,433</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 per share, basic</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8"/>
        </w:trPr>
        <w:tc>
          <w:tcPr>
            <w:tcW w:w="7540" w:type="dxa"/>
            <w:vAlign w:val="bottom"/>
            <w:gridSpan w:val="2"/>
          </w:tcPr>
          <w:p>
            <w:pPr>
              <w:ind w:left="20"/>
              <w:spacing w:after="0"/>
              <w:rPr>
                <w:sz w:val="20"/>
                <w:szCs w:val="20"/>
                <w:color w:val="auto"/>
              </w:rPr>
            </w:pPr>
            <w:r>
              <w:rPr>
                <w:rFonts w:ascii="Arial" w:cs="Arial" w:eastAsia="Arial" w:hAnsi="Arial"/>
                <w:sz w:val="17"/>
                <w:szCs w:val="17"/>
                <w:color w:val="auto"/>
              </w:rPr>
              <w:t>Net income (loss) per share, diluted</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0.34</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following securities were excluded from the computation of diluted net income (loss) attributable to Upstart Holdings, Inc. common stockholders per share for the periods presented, due to their anti-dilutive effect. These amounts represent the number of instruments outstanding at the end of each respective quarter: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60" w:type="dxa"/>
            <w:vAlign w:val="bottom"/>
          </w:tcPr>
          <w:p>
            <w:pPr>
              <w:spacing w:after="0"/>
              <w:rPr>
                <w:sz w:val="19"/>
                <w:szCs w:val="19"/>
                <w:color w:val="auto"/>
              </w:rPr>
            </w:pPr>
          </w:p>
        </w:tc>
        <w:tc>
          <w:tcPr>
            <w:tcW w:w="376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746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2023</w:t>
            </w:r>
          </w:p>
        </w:tc>
      </w:tr>
      <w:tr>
        <w:trPr>
          <w:trHeight w:val="21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718,911</w:t>
            </w: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13,881,292</w:t>
            </w:r>
          </w:p>
        </w:tc>
      </w:tr>
      <w:tr>
        <w:trPr>
          <w:trHeight w:val="218"/>
        </w:trPr>
        <w:tc>
          <w:tcPr>
            <w:tcW w:w="7460" w:type="dxa"/>
            <w:vAlign w:val="bottom"/>
          </w:tcPr>
          <w:p>
            <w:pPr>
              <w:ind w:left="20"/>
              <w:spacing w:after="0"/>
              <w:rPr>
                <w:sz w:val="20"/>
                <w:szCs w:val="20"/>
                <w:color w:val="auto"/>
              </w:rPr>
            </w:pPr>
            <w:r>
              <w:rPr>
                <w:rFonts w:ascii="Arial" w:cs="Arial" w:eastAsia="Arial" w:hAnsi="Arial"/>
                <w:sz w:val="17"/>
                <w:szCs w:val="17"/>
                <w:color w:val="auto"/>
              </w:rPr>
              <w:t>Unvested RSUs</w:t>
            </w:r>
          </w:p>
        </w:tc>
        <w:tc>
          <w:tcPr>
            <w:tcW w:w="1840" w:type="dxa"/>
            <w:vAlign w:val="bottom"/>
          </w:tcPr>
          <w:p>
            <w:pPr>
              <w:jc w:val="right"/>
              <w:spacing w:after="0"/>
              <w:rPr>
                <w:sz w:val="20"/>
                <w:szCs w:val="20"/>
                <w:color w:val="auto"/>
              </w:rPr>
            </w:pPr>
            <w:r>
              <w:rPr>
                <w:rFonts w:ascii="Arial" w:cs="Arial" w:eastAsia="Arial" w:hAnsi="Arial"/>
                <w:sz w:val="17"/>
                <w:szCs w:val="17"/>
                <w:color w:val="auto"/>
              </w:rPr>
              <w:t>1,077,703</w:t>
            </w:r>
          </w:p>
        </w:tc>
        <w:tc>
          <w:tcPr>
            <w:tcW w:w="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8,222,931</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PRSUs</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687,500</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460" w:type="dxa"/>
            <w:vAlign w:val="bottom"/>
          </w:tcPr>
          <w:p>
            <w:pPr>
              <w:ind w:left="20"/>
              <w:spacing w:after="0"/>
              <w:rPr>
                <w:sz w:val="20"/>
                <w:szCs w:val="20"/>
                <w:color w:val="auto"/>
              </w:rPr>
            </w:pPr>
            <w:r>
              <w:rPr>
                <w:rFonts w:ascii="Arial" w:cs="Arial" w:eastAsia="Arial" w:hAnsi="Arial"/>
                <w:sz w:val="17"/>
                <w:szCs w:val="17"/>
                <w:color w:val="auto"/>
              </w:rPr>
              <w:t>Purchase rights committed under the ESPP</w:t>
            </w:r>
          </w:p>
        </w:tc>
        <w:tc>
          <w:tcPr>
            <w:tcW w:w="1840" w:type="dxa"/>
            <w:vAlign w:val="bottom"/>
          </w:tcPr>
          <w:p>
            <w:pPr>
              <w:jc w:val="right"/>
              <w:spacing w:after="0"/>
              <w:rPr>
                <w:sz w:val="20"/>
                <w:szCs w:val="20"/>
                <w:color w:val="auto"/>
              </w:rPr>
            </w:pPr>
            <w:r>
              <w:rPr>
                <w:rFonts w:ascii="Arial" w:cs="Arial" w:eastAsia="Arial" w:hAnsi="Arial"/>
                <w:sz w:val="17"/>
                <w:szCs w:val="17"/>
                <w:color w:val="auto"/>
              </w:rPr>
              <w:t>2,620</w:t>
            </w:r>
          </w:p>
        </w:tc>
        <w:tc>
          <w:tcPr>
            <w:tcW w:w="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174,543</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debt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c>
          <w:tcPr>
            <w:tcW w:w="8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r>
      <w:tr>
        <w:trPr>
          <w:trHeight w:val="213"/>
        </w:trPr>
        <w:tc>
          <w:tcPr>
            <w:tcW w:w="7460" w:type="dxa"/>
            <w:vAlign w:val="bottom"/>
          </w:tcPr>
          <w:p>
            <w:pPr>
              <w:ind w:left="120"/>
              <w:spacing w:after="0"/>
              <w:rPr>
                <w:sz w:val="20"/>
                <w:szCs w:val="20"/>
                <w:color w:val="auto"/>
              </w:rPr>
            </w:pPr>
            <w:r>
              <w:rPr>
                <w:rFonts w:ascii="Arial" w:cs="Arial" w:eastAsia="Arial" w:hAnsi="Arial"/>
                <w:sz w:val="17"/>
                <w:szCs w:val="17"/>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4,804,812</w:t>
            </w:r>
          </w:p>
        </w:tc>
        <w:tc>
          <w:tcPr>
            <w:tcW w:w="8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24,596,844</w:t>
            </w:r>
          </w:p>
        </w:tc>
      </w:tr>
      <w:tr>
        <w:trPr>
          <w:trHeight w:val="20"/>
        </w:trPr>
        <w:tc>
          <w:tcPr>
            <w:tcW w:w="7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40"/>
        <w:spacing w:after="0"/>
        <w:tabs>
          <w:tab w:leader="none" w:pos="130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Reorganization Expenses</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January 31, 2023, the Company implemented a plan of reorganization (the “January 2023 Plan”). The January 2023 Plan was designed to reduce operating costs, streamline operations and return the Company to profitability. As part of the January 2023 Plan, the Company reduced its workforce by approximately 20%, or 365 employees, and suspended development of its small business loan product.</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During the quarter ended March 31, 2023, the Company incurred reorganization expenses in relation to the January 2023 plan, which primarily consisted of $15.5 million of severance charges related to employee cash compensation, benefits, and associated taxes. During the three months ended March 31, 2023, the Company has made $12.7 million of cash payments to impacted employees. The Company also recognized an impairment expense of $2.6 million for previously capitalized internally developed software costs. In addition to these charges, the Company recognized $2.9 million of one-time non-cash savings related to the reversal of previously expensed stock-based compensation associated with forfeited stock awards.</w:t>
      </w:r>
    </w:p>
    <w:p>
      <w:pPr>
        <w:spacing w:after="0" w:line="200" w:lineRule="exact"/>
        <w:rPr>
          <w:sz w:val="20"/>
          <w:szCs w:val="20"/>
          <w:color w:val="auto"/>
        </w:rPr>
      </w:pPr>
    </w:p>
    <w:p>
      <w:pPr>
        <w:spacing w:after="0" w:line="220" w:lineRule="exact"/>
        <w:rPr>
          <w:sz w:val="20"/>
          <w:szCs w:val="20"/>
          <w:color w:val="auto"/>
        </w:rPr>
      </w:pPr>
    </w:p>
    <w:p>
      <w:pPr>
        <w:ind w:left="1360" w:hanging="386"/>
        <w:spacing w:after="0"/>
        <w:tabs>
          <w:tab w:leader="none" w:pos="13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has evaluated events that have occurred through the filing date of this Quarterly Report on Form 10-Q. Based on its evaluation, other than any items recorded or disclosed within the condensed consolidated financial statements and related notes, including as discussed below, the Company has determined no subsequent events were required to be recognized or disclosed.</w:t>
      </w:r>
    </w:p>
    <w:p>
      <w:pPr>
        <w:spacing w:after="0" w:line="20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April 24, 2023, the Company signed an agreement with an investor for a capital commitment program to purchase Upstart-powered personal loans. The agreement includes risk and upside sharing for both under and over performance for the Company and the investor for loans purchased under the program. As part of the agreement, the Company agreed to sell to the investor a pool of Upstart-powered loans with an aggregate outstanding principal amount of $351.5 million. The Company recognized an unrealized loss as a negative fair value adjustment of $17.0 million related to the sale of such pool of Upstart-powered loans for the quarter ended March 31, 2023, which is included in the fair value and other adjustments on the Company’s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3"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Upstart applies modern data science and technology to the process of underwriting consumer credit. By providing our lending partners with a proprietary AI-based origination platform, we help them originate credit with higher approval rates, lower loss rates and a high degree of automation. As our technology continues to improve and additional lending partners adopt our platform, consumers benefit from improved access to affordable and frictionless credit.</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providing them with access to an AI lending marketplace that they can configure as they originate consumer loans under their own brand, according to their own business and regulatory requirements.</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Consumers can obtain Upstart-powered loans in one of two ways: either by referral from Upstart.com to one of our lending partners, or directly through our lending partners’ own websites, where our lending technology and experience is bank-branded. Our direct lending partner channel represents a small but growing portion of our overall volume, and we believe this portion will continue to grow over time as we onboard new lending partners.</w:t>
      </w:r>
    </w:p>
    <w:p>
      <w:pPr>
        <w:spacing w:after="0" w:line="184"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Our lending partners can retain loans that align with their business and risk objectives. For loans that are not retained by our lending partners, we sell to a broad base of institutional investors that invest in Upstart-powered loans. In the three months ended March 31, 2023, 44% of the loans funded through our platform were retained by originating lending partners, 44% of loans were purchased by institutional investors through our loan funding programs and the remaining 12% were funded through our balance sheet. In the past, the percentage of loans funded through our balance sheet has generally decreased, while the percentage of loans purchased by institutional investors has generally increased. However, in 2022, we increased the percentage of loans retained by Upstart. We hold R&amp;D Loans on our balance sheet for research and development purposes, including to test and evaluate the accuracy of our AI models for these loans. R&amp;D Loans are primarily our auto refinance and auto retail loan products, personal loan products issued to new categories of borrowers, and other new unsecured loan products. R&amp;D Loans are not yet part of our established capital markets programs or other loan funding programs with institutional investors. The remainder of loans on our balance sheet represent core personal loans which Upstart would sell to institutional investors.</w:t>
      </w:r>
    </w:p>
    <w:p>
      <w:pPr>
        <w:spacing w:after="0" w:line="19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Further, in order to address recent funding constraints for our personal loans, Upstart has utilized its balance sheet to support short-term funding requirements of loans that would otherwise be purchased and held by institutional investors or securitized. While our long-term plan is to bring more committed capital from third parties to our marketplace, in the meantime, we expect to continue contributing our own capital towards funding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Economic Model</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Upstart’s revenues are primarily earned in exchange for the use of our platform and for borrower referral services provided to our lending partners through our lending marketplace. Fees for these services can be either fixed or based on a variable price per unit, depending on the contractual arrangement. Platform services result in loan originations by our lending partners using our platform and referral services result in a referral of a borrower obtaining a loan from our lending partners. These fees are combined for accounting purposes as they represent a single performance obligation. We do not charge the borrowers on our platform any referral, platform or other similar fees for our loan matching services.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also charge the holder of the loan (either a lending partner or institutional investor) a servicing fee based on the outstanding principal over the lifetime of the loan for ongoing servicing of the loan. In addition, we earn a smaller portion of our revenue from interest income for loans held on our balance sheet and gain or (loss) generated through our capital markets programs.</w:t>
      </w:r>
    </w:p>
    <w:p>
      <w:pPr>
        <w:spacing w:after="0" w:line="201"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which fluctuates on a quarter by quarter basis. We continue to focus on improvements to our level of automation and Conversion Rate (as defined below) through our increasingly sophisticated risk models and our evolving channel mix which have contributed to improving our loan unit economics over time.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Factors Affecting Our Performance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Improvements to Our AI Models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0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While the credit performance of Upstart-powered loans can be impacted by a variety of macroeconomic and other factors, we consider credit performance to be one of the most important measures of the effectiveness of our AI models. We focus on credit performance compared to the expectations set by us at the time of origination. Since 2018 through to the end of 2021, all quarterly vintages of loans retained by our lending partners to date are currently forecasted to meet or exceed the target returns set at the time of loan origination. For loans purchased by institutional investors, all vintages from 2018 through 2020 are forecasted to deliver returns at or in excess of the targets such institutional investors were expecting to receive, while our 2021 through mid-2022 vintages have underperformed relative to target returns. Our most recent vintages show performance reconverging to target yields. This was driven by a combination of underlying macro effects stabilizing (as seen in the Upstart Macroeconomic Index (UMI)) and increased conservatism in underwriting.</w:t>
      </w:r>
    </w:p>
    <w:p>
      <w:pPr>
        <w:spacing w:after="0" w:line="19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believe that ongoing improvements to our technology in this manner will allow us to further expand access and lower rates for creditworthy borrowers, which will continue to fuel our growth. Should the pace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improvements slow down or cease, or should we discover forms of model upgrades which improve accuracy at the expense of volume, our growth rates could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Macroeconomic Environment</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04"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 xml:space="preserve">Loan funding provided by institutional investors started to become constrained in the second quarter of 2022 and has remained constrained, largely due to concerns about the macroeconomic environment. In response to inflationary pressure, the U.S. Federal Reserve has raised, and may continue to raise, interest rates, leading to more expensive loan offers across borrower categories. At the same time, macroeconomic uncertainty had generally made institutional investors more cautious and caused them to reduce the amount of capital available to fund Upstart-powered loans. As a result, in the first quarter of 2023, our Transaction Volume, Dollars continued to decrease. In response to this challenging macroeconomic environment where many lenders and credit investors have significantly reduced or paused investments in Upstart-powered loans, we announced reductions in workforce in November 2022 (“November 2022 Plan”) and January 2023 (“January 2023 Plan”) that resulted in the termination of approximately 7% and 20% of our workforce, respectively. These steps were designed to reduce operating costs, streamline operations and return Upstart to profitability. As of March 31, 2023, we have completed the November 2022 Plan and have substantially completed the January 2023 Plan. Refer to </w:t>
      </w:r>
      <w:r>
        <w:rPr>
          <w:rFonts w:ascii="Arial" w:cs="Arial" w:eastAsia="Arial" w:hAnsi="Arial"/>
          <w:sz w:val="16"/>
          <w:szCs w:val="16"/>
          <w:i w:val="1"/>
          <w:iCs w:val="1"/>
          <w:color w:val="auto"/>
        </w:rPr>
        <w:t>“Note 14, Reorganization Expenses”</w:t>
      </w:r>
      <w:r>
        <w:rPr>
          <w:rFonts w:ascii="Arial" w:cs="Arial" w:eastAsia="Arial" w:hAnsi="Arial"/>
          <w:sz w:val="16"/>
          <w:szCs w:val="16"/>
          <w:color w:val="auto"/>
        </w:rPr>
        <w:t xml:space="preserve"> for more information.</w:t>
      </w:r>
    </w:p>
    <w:p>
      <w:pPr>
        <w:spacing w:after="0" w:line="19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Further, several of our lending partners have paused or reduced loan originations in order to limit their exposure in the current macroeconomic environment. Further disruption in financial markets could impair our lending partners and result in further constrained funding, which would adversely impact our business, financial condition and operating results. In order to create greater stability for our business, we are planning to secure committed capital from lending partners and institutional investors that will contribute loan funding over longer durations. In the interim period, we have utilized and may in the future utilize our balance sheet to support loan funding. While our goal remains to operate as a capital-light marketplace for credit, we will continue to leverage our balance sheet in the short term as we evaluate opportunities to implement a committed capital structure.</w:t>
      </w:r>
    </w:p>
    <w:p>
      <w:pPr>
        <w:spacing w:after="0" w:line="19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In addition, the COVID-19 pandemic has had, and continues to have, a significant impact on the U.S. economy and markets in which we operate. Starting in the second half of March 2020, the COVID-19 pandemic impacted origination volumes on our platform. The rapid rise in unemployment in the United States led to a reduction in originations by lending partners and a temporary pause in loan funding from institutional investors and capital markets. The level of government assistance that was made available to consumers starting in the second quarter of 2020 was unprecedented, driving significant reduction in loan default rates and resulting in strong credit performance of Upstart-powered loans from the second quarter of 2020 through the third quarter of 2021. Since then, most government assistance programs have expired, which has led to the credit risk of borrowers who benefited from these government assistance programs surpassing pre-pandemic levels and led to borrower default rates above historical norms.</w:t>
      </w:r>
    </w:p>
    <w:p>
      <w:pPr>
        <w:spacing w:after="0" w:line="19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measure the performance of our loans primarily by comparing actual loan defaults to defaults projected by our AI models upon loan origination. Projected performance is a critical component of our loan pricing, and the accuracy of loan default projections is determined by how close the actual return will be to the level expected by our lending partners and institutional investors. The expiration of the government assistance programs had the greatest impact on higher risk borrowers, resulting in a greater increase in default rates for these groups as compared to other less risky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We have adjusted our AI models by incorporating different types of economic data, such as unemployment levels and inflation rates, that we receive from third party sources. These adjustments impact interest rates for loans offered on our platform and, as a result, affect borrower acceptance rates of these loans. Recently, this resulted in higher interest rates for the loans being offered through our platform and lower borrower acceptance rates of such loans. But while these economic data help our AI models take into account the current macroeconomic environment, we focus on the ability of our AI models to separate high and low risk borrowers which demonstrates the resilience in the performance of our AI models and Upstart-powered loans during downward shifts in economic cycles relative to general consumer credit. If we do it successfully, it could strengthen our competitive positioning when we emerge from such downturns.</w:t>
      </w:r>
    </w:p>
    <w:p>
      <w:pPr>
        <w:spacing w:after="0" w:line="18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order to respond to macroeconomic changes and provide relevant and up-to-date information to our lending partners, we introduced a new metric, the Upstart Macroeconomic Index (UMI). UMI is designed to quantify the level of underlying macroeconomic risk, specific to our borrower base, relative to a benign (pre-2020) credit environment. A UMI of 1.0 reflects loan losses at this baseline rate. As of March 31, 2023, the index was measured at approximately 1.5, meaning that current macroeconomic conditions contributed an incremental risk of approximately 50% to the repayment performance of an Upstart-powered loan, compared to the pre-2020 baseline.</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continuously monitor the direct and indirect impacts of the current macroeconomic conditions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Lending Partner and Market Adoption</w:t>
      </w:r>
    </w:p>
    <w:p>
      <w:pPr>
        <w:spacing w:after="0" w:line="23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Lending partners play two key roles in Upstart’s ecosystem: funding loans and acquiring new customers. Traditional lenders, such as banks, tend to enjoy among the most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New lending partners also represent additional acquisition channels through which we can reach and source prospective new borrowers, as these lending partners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provide funding support beyond our lending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lending partners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believe that the recent bank failures in 2023 and disruption in the banking sector may limit our ability to attract new lending partners and may cause existing lending partners to reduce loan originations on our platform.</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Expansion and Innovation</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believe that significant growth opportunities exist to apply our evolving AI technology to additional segments of credit, and we continue to invest in research and development of our products. In the second quarter of 2022, we introduced a new offering of personal loans for borrowers interested in small dollar loans. We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w:t>
      </w:r>
    </w:p>
    <w:p>
      <w:pPr>
        <w:spacing w:after="0" w:line="16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the third quarter of 2020, we announced our entry into the auto lending market and in April 2021, we acquired Prodigy Software, Inc. or Prodigy, a leader in automotive commerce software solutions. Prodigy provides a modern multi-channel car buying experience, helping dealerships serve consumers with a holistic software solution that integrates legacy systems. In addition to modernizing the car buying experience, Prodigy is helping bring Upstart's AI enabled auto loans to dealerships across the country where the vast majority of auto loans are transacted. In October 2021, we announced the launch of Upstart Auto Retail software, a cloud-based solution that enables dealerships to provide consumers with access to Upstart-powered auto loans by combining Prodigy Software and Upstart intellectual property.</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part of the January 2023 Plan, we suspended development work for small business loans to focus our resources on acceleration of further development of our personal loan and auto loan products,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Key Operating and Non-GAAP Financial Metrics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focus on several key operating and Non-GAAP financial metrics to measure the performance of our business and help determine strategic direction.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our key operating and financial metrics: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gridSpan w:val="4"/>
          </w:tcPr>
          <w:p>
            <w:pPr>
              <w:jc w:val="right"/>
              <w:ind w:right="494"/>
              <w:spacing w:after="0"/>
              <w:rPr>
                <w:sz w:val="20"/>
                <w:szCs w:val="20"/>
                <w:color w:val="auto"/>
              </w:rPr>
            </w:pPr>
            <w:r>
              <w:rPr>
                <w:rFonts w:ascii="Arial" w:cs="Arial" w:eastAsia="Arial" w:hAnsi="Arial"/>
                <w:sz w:val="17"/>
                <w:szCs w:val="17"/>
                <w:b w:val="1"/>
                <w:bCs w:val="1"/>
                <w:color w:val="auto"/>
              </w:rPr>
              <w:t>Three Months Ended March 31,</w:t>
            </w:r>
          </w:p>
        </w:tc>
      </w:tr>
      <w:tr>
        <w:trPr>
          <w:trHeight w:val="27"/>
        </w:trPr>
        <w:tc>
          <w:tcPr>
            <w:tcW w:w="7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4"/>
              <w:spacing w:after="0"/>
              <w:rPr>
                <w:sz w:val="20"/>
                <w:szCs w:val="20"/>
                <w:color w:val="auto"/>
              </w:rPr>
            </w:pPr>
            <w:r>
              <w:rPr>
                <w:rFonts w:ascii="Arial" w:cs="Arial" w:eastAsia="Arial" w:hAnsi="Arial"/>
                <w:sz w:val="17"/>
                <w:szCs w:val="17"/>
                <w:b w:val="1"/>
                <w:bCs w:val="1"/>
                <w:color w:val="auto"/>
              </w:rPr>
              <w:t>2023</w:t>
            </w:r>
          </w:p>
        </w:tc>
      </w:tr>
      <w:tr>
        <w:trPr>
          <w:trHeight w:val="27"/>
        </w:trPr>
        <w:tc>
          <w:tcPr>
            <w:tcW w:w="7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Volume, Dollars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4,535,345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997,447</w:t>
            </w:r>
          </w:p>
        </w:tc>
      </w:tr>
      <w:tr>
        <w:trPr>
          <w:trHeight w:val="219"/>
        </w:trPr>
        <w:tc>
          <w:tcPr>
            <w:tcW w:w="7720" w:type="dxa"/>
            <w:vAlign w:val="bottom"/>
          </w:tcPr>
          <w:p>
            <w:pPr>
              <w:ind w:left="20"/>
              <w:spacing w:after="0" w:line="219" w:lineRule="exact"/>
              <w:rPr>
                <w:sz w:val="20"/>
                <w:szCs w:val="20"/>
                <w:color w:val="auto"/>
              </w:rPr>
            </w:pPr>
            <w:r>
              <w:rPr>
                <w:rFonts w:ascii="Arial" w:cs="Arial" w:eastAsia="Arial" w:hAnsi="Arial"/>
                <w:sz w:val="17"/>
                <w:szCs w:val="17"/>
                <w:color w:val="auto"/>
              </w:rPr>
              <w:t>Transaction Volume, Number of Loans</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465,537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84,084</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Conversion Rate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8.2%</w:t>
            </w:r>
          </w:p>
        </w:tc>
      </w:tr>
      <w:tr>
        <w:trPr>
          <w:trHeight w:val="218"/>
        </w:trPr>
        <w:tc>
          <w:tcPr>
            <w:tcW w:w="7720" w:type="dxa"/>
            <w:vAlign w:val="bottom"/>
          </w:tcPr>
          <w:p>
            <w:pPr>
              <w:ind w:left="20"/>
              <w:spacing w:after="0"/>
              <w:rPr>
                <w:sz w:val="20"/>
                <w:szCs w:val="20"/>
                <w:color w:val="auto"/>
              </w:rPr>
            </w:pPr>
            <w:r>
              <w:rPr>
                <w:rFonts w:ascii="Arial" w:cs="Arial" w:eastAsia="Arial" w:hAnsi="Arial"/>
                <w:sz w:val="17"/>
                <w:szCs w:val="17"/>
                <w:color w:val="auto"/>
              </w:rPr>
              <w:t>Percentage of Loans Fully Automated</w:t>
            </w:r>
          </w:p>
        </w:tc>
        <w:tc>
          <w:tcPr>
            <w:tcW w:w="34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84%</w:t>
            </w:r>
          </w:p>
        </w:tc>
      </w:tr>
      <w:tr>
        <w:trPr>
          <w:trHeight w:val="207"/>
        </w:trPr>
        <w:tc>
          <w:tcPr>
            <w:tcW w:w="7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9"/>
        </w:trPr>
        <w:tc>
          <w:tcPr>
            <w:tcW w:w="7720" w:type="dxa"/>
            <w:vAlign w:val="bottom"/>
          </w:tcPr>
          <w:p>
            <w:pPr>
              <w:ind w:left="20"/>
              <w:spacing w:after="0" w:line="219" w:lineRule="exact"/>
              <w:rPr>
                <w:sz w:val="20"/>
                <w:szCs w:val="20"/>
                <w:color w:val="auto"/>
              </w:rPr>
            </w:pPr>
            <w:r>
              <w:rPr>
                <w:rFonts w:ascii="Arial" w:cs="Arial" w:eastAsia="Arial" w:hAnsi="Arial"/>
                <w:sz w:val="17"/>
                <w:szCs w:val="17"/>
                <w:color w:val="auto"/>
              </w:rPr>
              <w:t>Contribution Profit</w:t>
            </w:r>
            <w:r>
              <w:rPr>
                <w:rFonts w:ascii="Arial" w:cs="Arial" w:eastAsia="Arial" w:hAnsi="Arial"/>
                <w:sz w:val="22"/>
                <w:szCs w:val="22"/>
                <w:color w:val="auto"/>
                <w:vertAlign w:val="superscript"/>
              </w:rPr>
              <w:t>(2)</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147,841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67,623</w:t>
            </w:r>
          </w:p>
        </w:tc>
      </w:tr>
      <w:tr>
        <w:trPr>
          <w:trHeight w:val="219"/>
        </w:trPr>
        <w:tc>
          <w:tcPr>
            <w:tcW w:w="772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i w:val="1"/>
                <w:iCs w:val="1"/>
                <w:color w:val="auto"/>
              </w:rPr>
              <w:t>Contribution Margin</w:t>
            </w:r>
            <w:r>
              <w:rPr>
                <w:rFonts w:ascii="Arial" w:cs="Arial" w:eastAsia="Arial" w:hAnsi="Arial"/>
                <w:sz w:val="22"/>
                <w:szCs w:val="22"/>
                <w:i w:val="1"/>
                <w:iCs w:val="1"/>
                <w:color w:val="auto"/>
                <w:vertAlign w:val="superscript"/>
              </w:rPr>
              <w:t>(2)</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58%</w:t>
            </w:r>
          </w:p>
        </w:tc>
      </w:tr>
      <w:tr>
        <w:trPr>
          <w:trHeight w:val="219"/>
        </w:trPr>
        <w:tc>
          <w:tcPr>
            <w:tcW w:w="7720" w:type="dxa"/>
            <w:vAlign w:val="bottom"/>
          </w:tcPr>
          <w:p>
            <w:pPr>
              <w:spacing w:after="0" w:line="219"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(2)</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62,590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(31,061)</w:t>
            </w:r>
          </w:p>
        </w:tc>
      </w:tr>
      <w:tr>
        <w:trPr>
          <w:trHeight w:val="219"/>
        </w:trPr>
        <w:tc>
          <w:tcPr>
            <w:tcW w:w="7720" w:type="dxa"/>
            <w:vAlign w:val="bottom"/>
            <w:shd w:val="clear" w:color="auto" w:fill="CCEEFF"/>
          </w:tcPr>
          <w:p>
            <w:pPr>
              <w:ind w:left="180"/>
              <w:spacing w:after="0" w:line="219" w:lineRule="exact"/>
              <w:rPr>
                <w:sz w:val="20"/>
                <w:szCs w:val="20"/>
                <w:color w:val="auto"/>
              </w:rPr>
            </w:pPr>
            <w:r>
              <w:rPr>
                <w:rFonts w:ascii="Arial" w:cs="Arial" w:eastAsia="Arial" w:hAnsi="Arial"/>
                <w:sz w:val="17"/>
                <w:szCs w:val="17"/>
                <w:i w:val="1"/>
                <w:iCs w:val="1"/>
                <w:color w:val="auto"/>
              </w:rPr>
              <w:t>Adjusted EBITDA Margin</w:t>
            </w:r>
            <w:r>
              <w:rPr>
                <w:rFonts w:ascii="Arial" w:cs="Arial" w:eastAsia="Arial" w:hAnsi="Arial"/>
                <w:sz w:val="22"/>
                <w:szCs w:val="22"/>
                <w:i w:val="1"/>
                <w:iCs w:val="1"/>
                <w:color w:val="auto"/>
                <w:vertAlign w:val="superscript"/>
              </w:rPr>
              <w:t>(2)</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(30)%</w:t>
            </w:r>
          </w:p>
        </w:tc>
      </w:tr>
      <w:tr>
        <w:trPr>
          <w:trHeight w:val="219"/>
        </w:trPr>
        <w:tc>
          <w:tcPr>
            <w:tcW w:w="7720" w:type="dxa"/>
            <w:vAlign w:val="bottom"/>
          </w:tcPr>
          <w:p>
            <w:pPr>
              <w:ind w:left="20"/>
              <w:spacing w:after="0" w:line="219" w:lineRule="exact"/>
              <w:rPr>
                <w:sz w:val="20"/>
                <w:szCs w:val="20"/>
                <w:color w:val="auto"/>
              </w:rPr>
            </w:pPr>
            <w:r>
              <w:rPr>
                <w:rFonts w:ascii="Arial" w:cs="Arial" w:eastAsia="Arial" w:hAnsi="Arial"/>
                <w:sz w:val="17"/>
                <w:szCs w:val="17"/>
                <w:color w:val="auto"/>
              </w:rPr>
              <w:t>Adjusted Net Income (Loss)</w:t>
            </w:r>
            <w:r>
              <w:rPr>
                <w:rFonts w:ascii="Arial" w:cs="Arial" w:eastAsia="Arial" w:hAnsi="Arial"/>
                <w:sz w:val="22"/>
                <w:szCs w:val="22"/>
                <w:color w:val="auto"/>
                <w:vertAlign w:val="superscript"/>
              </w:rPr>
              <w:t>(2)</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58,621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(38,692)</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(Loss) Per Share: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720" w:type="dxa"/>
            <w:vAlign w:val="bottom"/>
          </w:tcPr>
          <w:p>
            <w:pPr>
              <w:ind w:left="220"/>
              <w:spacing w:after="0" w:line="219" w:lineRule="exact"/>
              <w:rPr>
                <w:sz w:val="20"/>
                <w:szCs w:val="20"/>
                <w:color w:val="auto"/>
              </w:rPr>
            </w:pPr>
            <w:r>
              <w:rPr>
                <w:rFonts w:ascii="Arial" w:cs="Arial" w:eastAsia="Arial" w:hAnsi="Arial"/>
                <w:sz w:val="17"/>
                <w:szCs w:val="17"/>
                <w:color w:val="auto"/>
              </w:rPr>
              <w:t>Basic</w:t>
            </w:r>
            <w:r>
              <w:rPr>
                <w:rFonts w:ascii="Arial" w:cs="Arial" w:eastAsia="Arial" w:hAnsi="Arial"/>
                <w:sz w:val="22"/>
                <w:szCs w:val="22"/>
                <w:color w:val="auto"/>
                <w:vertAlign w:val="superscript"/>
              </w:rPr>
              <w:t>(2)</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(0.47)</w:t>
            </w:r>
          </w:p>
        </w:tc>
      </w:tr>
      <w:tr>
        <w:trPr>
          <w:trHeight w:val="219"/>
        </w:trPr>
        <w:tc>
          <w:tcPr>
            <w:tcW w:w="772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Diluted</w:t>
            </w:r>
            <w:r>
              <w:rPr>
                <w:rFonts w:ascii="Arial" w:cs="Arial" w:eastAsia="Arial" w:hAnsi="Arial"/>
                <w:sz w:val="22"/>
                <w:szCs w:val="22"/>
                <w:color w:val="auto"/>
                <w:vertAlign w:val="superscript"/>
              </w:rPr>
              <w:t>(2)</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(0.47)</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w:t>
      </w:r>
    </w:p>
    <w:p>
      <w:pPr>
        <w:spacing w:after="0" w:line="4" w:lineRule="exact"/>
        <w:rPr>
          <w:sz w:val="20"/>
          <w:szCs w:val="20"/>
          <w:color w:val="auto"/>
        </w:rPr>
      </w:pPr>
    </w:p>
    <w:p>
      <w:pPr>
        <w:ind w:left="460" w:hanging="457"/>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Transaction Volume, Number of Loans is shown in ones for the periods presented.</w:t>
      </w:r>
    </w:p>
    <w:p>
      <w:pPr>
        <w:spacing w:after="0" w:line="1" w:lineRule="exact"/>
        <w:rPr>
          <w:rFonts w:ascii="Arial" w:cs="Arial" w:eastAsia="Arial" w:hAnsi="Arial"/>
          <w:sz w:val="14"/>
          <w:szCs w:val="14"/>
          <w:color w:val="auto"/>
        </w:rPr>
      </w:pPr>
    </w:p>
    <w:p>
      <w:pPr>
        <w:ind w:left="460" w:hanging="457"/>
        <w:spacing w:after="0" w:line="259" w:lineRule="auto"/>
        <w:tabs>
          <w:tab w:leader="none" w:pos="453"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non-GAAP financial measure. See the section titled “</w:t>
      </w:r>
      <w:r>
        <w:rPr>
          <w:rFonts w:ascii="Arial" w:cs="Arial" w:eastAsia="Arial" w:hAnsi="Arial"/>
          <w:sz w:val="14"/>
          <w:szCs w:val="14"/>
          <w:i w:val="1"/>
          <w:iCs w:val="1"/>
          <w:color w:val="auto"/>
        </w:rPr>
        <w:t>Management’s Discussion and Analysis of Financial Condition and Results of Operations—Reconciliation of Non-GAAP</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Measures</w:t>
      </w:r>
      <w:r>
        <w:rPr>
          <w:rFonts w:ascii="Arial" w:cs="Arial" w:eastAsia="Arial" w:hAnsi="Arial"/>
          <w:sz w:val="14"/>
          <w:szCs w:val="14"/>
          <w:color w:val="auto"/>
        </w:rPr>
        <w:t>” for further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 Volume</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define Transaction Volume, Dollars as the total principal of loans transacted on our platform between a borrower and the originating lending partner during the period presented. We define Transaction Volume, Number of Loans as the number of loans facilitated on our platform between a borrower and the originating lending partner during the period presented. Transaction Volume is primarily driven by improvements in our AI models and technology, including our ability to streamline and automate the loan application and origination process.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can also be driven by borrower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rates and their sensitivity to the interest rates offered through our platform. We believe these metrics are good proxies for our overall scale and reach as a marketplace. Transaction Volume, Dollars and Transaction Volume, Number of Loans decreased by 78% and 82%, respectively, in the three months ended March 31, 2023 compared to the same period of 2022. This contraction was driven by a reduction in funding availability caused by macroeconomic uncertainty and by elevated consumer risk and cost of funds. These changing macroeconomic conditions also required adjustments to our models which resulted in our loans becoming more expensive and decreasing consumer demand.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Rate</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 changes in the rate of returns we target for our lending partners and institutional investors. External factors, including shifts in macroeconomic conditions, also impact our Conversion Rate. For example, as the U.S. Federal Reserve raises interest rates, the average interest rates charged to borrowers for Upstart-powered loans also increase, which results in decreases to our Conversion Rate. Our ability to continue to improve our Conversion Rate depends in part on our ability to continue to improve our AI models and Percentage of Loans Fully Automated and the mix of marketing channels in any given period. Our Conversion Rate decreased to 8.2% in the three months ended March 31, 2023 from 21.4% in the same period of 2022, primarily driven by lower approval rates following the significant increase in interest rates, which were in turn driven by elevated risk and cost of capital.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Percentage of Loans Fully Automated</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 driver of our Contribution Margin and operating efficiency is the Percentage of Loans Fully Automated, which is defined as the total number of loans in a given period originated end-to-end (from initial rate request to final funding) with no human involvement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growth of the percentage of loans fully automated to subside in the near term. However, the expansion of our loan offerings may cause it to fluctuate from period to period depending on the loan offering mix and other external factors. Our Percentage of Loans Fully Automated increased to 84% for the three months ended March 31, 2023 from 74% in the same period of 2022, driven primarily by elimination or automation of previously manual processes.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Profit and Contribution Margin</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To derive Contribution Profit, we subtract from revenue from fees, net from our borrower acquisition costs as well as our borrower verification and servicing costs. To calculate Contribution Margin we divide Contribution Profit by revenue from fees, net.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calculation of Contribution Profit and Contribution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Three Months Ended March 31,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5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313,982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117,141</w:t>
            </w:r>
          </w:p>
        </w:tc>
        <w:tc>
          <w:tcPr>
            <w:tcW w:w="0" w:type="dxa"/>
            <w:vAlign w:val="bottom"/>
          </w:tcPr>
          <w:p>
            <w:pPr>
              <w:spacing w:after="0"/>
              <w:rPr>
                <w:sz w:val="1"/>
                <w:szCs w:val="1"/>
                <w:color w:val="auto"/>
              </w:rPr>
            </w:pPr>
          </w:p>
        </w:tc>
      </w:tr>
      <w:tr>
        <w:trPr>
          <w:trHeight w:val="212"/>
        </w:trPr>
        <w:tc>
          <w:tcPr>
            <w:tcW w:w="750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Borrower acquisition costs</w:t>
            </w:r>
            <w:r>
              <w:rPr>
                <w:rFonts w:ascii="Arial" w:cs="Arial" w:eastAsia="Arial" w:hAnsi="Arial"/>
                <w:sz w:val="22"/>
                <w:szCs w:val="22"/>
                <w:color w:val="auto"/>
                <w:vertAlign w:val="superscript"/>
              </w:rPr>
              <w:t>(1)</w:t>
            </w:r>
          </w:p>
        </w:tc>
        <w:tc>
          <w:tcPr>
            <w:tcW w:w="380" w:type="dxa"/>
            <w:vAlign w:val="bottom"/>
          </w:tcPr>
          <w:p>
            <w:pPr>
              <w:spacing w:after="0"/>
              <w:rPr>
                <w:sz w:val="18"/>
                <w:szCs w:val="18"/>
                <w:color w:val="auto"/>
              </w:rPr>
            </w:pPr>
          </w:p>
        </w:tc>
        <w:tc>
          <w:tcPr>
            <w:tcW w:w="1440" w:type="dxa"/>
            <w:vAlign w:val="bottom"/>
          </w:tcPr>
          <w:p>
            <w:pPr>
              <w:jc w:val="right"/>
              <w:ind w:right="74"/>
              <w:spacing w:after="0"/>
              <w:rPr>
                <w:sz w:val="20"/>
                <w:szCs w:val="20"/>
                <w:color w:val="auto"/>
              </w:rPr>
            </w:pPr>
            <w:r>
              <w:rPr>
                <w:rFonts w:ascii="Arial" w:cs="Arial" w:eastAsia="Arial" w:hAnsi="Arial"/>
                <w:sz w:val="17"/>
                <w:szCs w:val="17"/>
                <w:color w:val="auto"/>
              </w:rPr>
              <w:t>(123,814)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74"/>
              <w:spacing w:after="0"/>
              <w:rPr>
                <w:sz w:val="20"/>
                <w:szCs w:val="20"/>
                <w:color w:val="auto"/>
              </w:rPr>
            </w:pPr>
            <w:r>
              <w:rPr>
                <w:rFonts w:ascii="Arial" w:cs="Arial" w:eastAsia="Arial" w:hAnsi="Arial"/>
                <w:sz w:val="17"/>
                <w:szCs w:val="17"/>
                <w:color w:val="auto"/>
              </w:rPr>
              <w:t>(19,712)</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7"/>
                <w:szCs w:val="17"/>
                <w:color w:val="auto"/>
              </w:rPr>
              <w:t>Borrower verification and servicing costs</w:t>
            </w:r>
            <w:r>
              <w:rPr>
                <w:rFonts w:ascii="Arial" w:cs="Arial" w:eastAsia="Arial" w:hAnsi="Arial"/>
                <w:sz w:val="22"/>
                <w:szCs w:val="22"/>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(42,327)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(29,806)</w:t>
            </w:r>
          </w:p>
        </w:tc>
        <w:tc>
          <w:tcPr>
            <w:tcW w:w="0" w:type="dxa"/>
            <w:vAlign w:val="bottom"/>
          </w:tcPr>
          <w:p>
            <w:pPr>
              <w:spacing w:after="0"/>
              <w:rPr>
                <w:sz w:val="1"/>
                <w:szCs w:val="1"/>
                <w:color w:val="auto"/>
              </w:rPr>
            </w:pPr>
          </w:p>
        </w:tc>
      </w:tr>
      <w:tr>
        <w:trPr>
          <w:trHeight w:val="211"/>
        </w:trPr>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Total direct expenses</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(166,141)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(49,518)</w:t>
            </w:r>
          </w:p>
        </w:tc>
        <w:tc>
          <w:tcPr>
            <w:tcW w:w="0" w:type="dxa"/>
            <w:vAlign w:val="bottom"/>
          </w:tcPr>
          <w:p>
            <w:pPr>
              <w:spacing w:after="0"/>
              <w:rPr>
                <w:sz w:val="1"/>
                <w:szCs w:val="1"/>
                <w:color w:val="auto"/>
              </w:rPr>
            </w:pPr>
          </w:p>
        </w:tc>
      </w:tr>
      <w:tr>
        <w:trPr>
          <w:trHeight w:val="238"/>
        </w:trPr>
        <w:tc>
          <w:tcPr>
            <w:tcW w:w="7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Contribution Profit</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147,841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67,623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7"/>
                <w:szCs w:val="17"/>
                <w:i w:val="1"/>
                <w:iCs w:val="1"/>
                <w:color w:val="auto"/>
              </w:rPr>
              <w:t>Contribution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5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47 %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58 %</w:t>
            </w:r>
          </w:p>
        </w:tc>
        <w:tc>
          <w:tcPr>
            <w:tcW w:w="0" w:type="dxa"/>
            <w:vAlign w:val="bottom"/>
          </w:tcPr>
          <w:p>
            <w:pPr>
              <w:spacing w:after="0"/>
              <w:rPr>
                <w:sz w:val="1"/>
                <w:szCs w:val="1"/>
                <w:color w:val="auto"/>
              </w:rPr>
            </w:pPr>
          </w:p>
        </w:tc>
      </w:tr>
      <w:tr>
        <w:trPr>
          <w:trHeight w:val="292"/>
        </w:trPr>
        <w:tc>
          <w:tcPr>
            <w:tcW w:w="7400" w:type="dxa"/>
            <w:vAlign w:val="bottom"/>
          </w:tcPr>
          <w:p>
            <w:pPr>
              <w:spacing w:after="0"/>
              <w:rPr>
                <w:sz w:val="20"/>
                <w:szCs w:val="20"/>
                <w:color w:val="auto"/>
              </w:rPr>
            </w:pPr>
            <w:r>
              <w:rPr>
                <w:rFonts w:ascii="Arial" w:cs="Arial" w:eastAsia="Arial" w:hAnsi="Arial"/>
                <w:sz w:val="17"/>
                <w:szCs w:val="17"/>
                <w:color w:val="auto"/>
              </w:rPr>
              <w:t>_______</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460" w:hanging="457"/>
        <w:spacing w:after="0"/>
        <w:tabs>
          <w:tab w:leader="none" w:pos="453" w:val="left"/>
        </w:tabs>
        <w:numPr>
          <w:ilvl w:val="0"/>
          <w:numId w:val="18"/>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associated with the January 2023 Plan.</w:t>
      </w:r>
    </w:p>
    <w:p>
      <w:pPr>
        <w:spacing w:after="0" w:line="1" w:lineRule="exact"/>
        <w:rPr>
          <w:rFonts w:ascii="Arial" w:cs="Arial" w:eastAsia="Arial" w:hAnsi="Arial"/>
          <w:sz w:val="14"/>
          <w:szCs w:val="14"/>
          <w:color w:val="auto"/>
        </w:rPr>
      </w:pPr>
    </w:p>
    <w:p>
      <w:pPr>
        <w:jc w:val="both"/>
        <w:ind w:left="460" w:hanging="457"/>
        <w:spacing w:after="0" w:line="254" w:lineRule="auto"/>
        <w:tabs>
          <w:tab w:leader="none" w:pos="453" w:val="left"/>
        </w:tabs>
        <w:numPr>
          <w:ilvl w:val="0"/>
          <w:numId w:val="18"/>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 associated with the January 2023 Plan.</w:t>
      </w:r>
    </w:p>
    <w:p>
      <w:pPr>
        <w:spacing w:after="0" w:line="2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See the section titled “</w:t>
      </w:r>
      <w:r>
        <w:rPr>
          <w:rFonts w:ascii="Arial" w:cs="Arial" w:eastAsia="Arial" w:hAnsi="Arial"/>
          <w:sz w:val="17"/>
          <w:szCs w:val="17"/>
          <w:i w:val="1"/>
          <w:iCs w:val="1"/>
          <w:color w:val="auto"/>
        </w:rPr>
        <w:t>Management’s Discussion and Analysis of Financial Condition and Results of Operations—Reconciliation of Non-GAAP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Measures</w:t>
      </w:r>
      <w:r>
        <w:rPr>
          <w:rFonts w:ascii="Arial" w:cs="Arial" w:eastAsia="Arial" w:hAnsi="Arial"/>
          <w:sz w:val="17"/>
          <w:szCs w:val="17"/>
          <w:color w:val="auto"/>
        </w:rPr>
        <w:t>” for a reconciliation of income from operations to Contribution Profit.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4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We calculate Adjusted EBITDA as net income (loss) attributable to Upstart Holdings, Inc. common stockholders adjusted to exclude stock-based compensation expense and certain payroll tax expenses, depreciation and amortization, expense on convertible notes, provision for income taxes,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Arial" w:cs="Arial" w:eastAsia="Arial" w:hAnsi="Arial"/>
          <w:sz w:val="15"/>
          <w:szCs w:val="15"/>
          <w:i w:val="1"/>
          <w:iCs w:val="1"/>
          <w:color w:val="auto"/>
        </w:rPr>
        <w:t>Management’s Discussion and Analysis of Financial Condition and Results of Operations—Reconciliation of Non-GAAP Financial Measures</w:t>
      </w:r>
      <w:r>
        <w:rPr>
          <w:rFonts w:ascii="Arial" w:cs="Arial" w:eastAsia="Arial" w:hAnsi="Arial"/>
          <w:sz w:val="15"/>
          <w:szCs w:val="15"/>
          <w:color w:val="auto"/>
        </w:rPr>
        <w:t>” for a reconciliation of net income (loss) attributable to Upstart Holdings, Inc. common stockholders to Adjusted EBITDA and Adjusted EBITDA Margin.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(Loss) and Adjusted Net Income (Loss) Per Share</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define Adjusted Net Income (Loss) as net income (loss) attributable to Upstart Holdings, Inc. common stockholders exclusive of stock-based compensation expense and certain payroll tax expenses and reorganization expenses. Adjusted Net Income (Loss) Per Share is calculated by dividing Adjusted Net Income (Loss) Per Share by the weighted-average common shares outstanding. See the section titled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Operations—Reconciliation of Non-GAAP Financial Measures</w:t>
      </w:r>
      <w:r>
        <w:rPr>
          <w:rFonts w:ascii="Arial" w:cs="Arial" w:eastAsia="Arial" w:hAnsi="Arial"/>
          <w:sz w:val="16"/>
          <w:szCs w:val="16"/>
          <w:color w:val="auto"/>
        </w:rPr>
        <w:t>” for a reconciliation of net income (loss) attributable to Upstart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Inc. common stockholders to Adjusted Net Income (Loss) and Adjusted Net Income (Loss) per Share.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Platform and Referral Fees, Net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lending partners monthly loan trailing fees based on the amount and timing of principal and interest payments made by borrowers of the underlying loans. Refer to “</w:t>
      </w:r>
      <w:r>
        <w:rPr>
          <w:rFonts w:ascii="Arial" w:cs="Arial" w:eastAsia="Arial" w:hAnsi="Arial"/>
          <w:sz w:val="17"/>
          <w:szCs w:val="17"/>
          <w:i w:val="1"/>
          <w:iCs w:val="1"/>
          <w:color w:val="auto"/>
        </w:rPr>
        <w:t>Note 2. Revenue</w:t>
      </w:r>
      <w:r>
        <w:rPr>
          <w:rFonts w:ascii="Arial" w:cs="Arial" w:eastAsia="Arial" w:hAnsi="Arial"/>
          <w:sz w:val="17"/>
          <w:szCs w:val="17"/>
          <w:color w:val="auto"/>
        </w:rPr>
        <w:t>” to our condensed consolidated financial statements in Part I, Item 1 of this Quarterly Report on Form 10-Q for more information about loan premium fees and trailing fees.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Servicing and Other Fees, Net</w:t>
      </w:r>
    </w:p>
    <w:p>
      <w:pPr>
        <w:spacing w:after="0" w:line="114"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loan-servicer for substantially all outstanding loans facilitated 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and Fair Value Adjustments, Net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Interest income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and fair value adjustments, net also includes income from our capital market programs and realized gain (loss) on the sale of loans. Interest income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increase in absolute dollars and may fluctuate as a percentage of our total revenue from period to period as we hire additional sales and marketing personnel, increase our marketing activities and build greater brand awareness.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Operations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Engineering and Product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Administrative and Other</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Other income (expense), net primarily consists of interest expense on our convertible notes and charitable donations during the three months ended March 31, 2022. During the three months ended March 31, 2023 other income (expense), net primarily consists of interest expense on our convertible notes and dividend income earned on our unrestricted cash balances.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historical condensed consolidated statements of operations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7"/>
                <w:szCs w:val="17"/>
                <w:b w:val="1"/>
                <w:bCs w:val="1"/>
                <w:color w:val="auto"/>
              </w:rPr>
              <w:t>Three Months Ended March 31,</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7"/>
                <w:szCs w:val="17"/>
                <w:color w:val="auto"/>
              </w:rPr>
              <w:t>Revenue from fees, net</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w w:val="91"/>
              </w:rPr>
              <w:t>313,982</w:t>
            </w:r>
          </w:p>
        </w:tc>
        <w:tc>
          <w:tcPr>
            <w:tcW w:w="40" w:type="dxa"/>
            <w:vAlign w:val="bottom"/>
          </w:tcPr>
          <w:p>
            <w:pPr>
              <w:spacing w:after="0"/>
              <w:rPr>
                <w:sz w:val="18"/>
                <w:szCs w:val="18"/>
                <w:color w:val="auto"/>
              </w:rPr>
            </w:pPr>
          </w:p>
        </w:tc>
        <w:tc>
          <w:tcPr>
            <w:tcW w:w="1160" w:type="dxa"/>
            <w:vAlign w:val="bottom"/>
            <w:gridSpan w:val="3"/>
          </w:tcPr>
          <w:p>
            <w:pPr>
              <w:jc w:val="right"/>
              <w:ind w:right="87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117,141</w:t>
            </w:r>
          </w:p>
        </w:tc>
        <w:tc>
          <w:tcPr>
            <w:tcW w:w="0" w:type="dxa"/>
            <w:vAlign w:val="bottom"/>
          </w:tcPr>
          <w:p>
            <w:pPr>
              <w:spacing w:after="0"/>
              <w:rPr>
                <w:sz w:val="1"/>
                <w:szCs w:val="1"/>
                <w:color w:val="auto"/>
              </w:rPr>
            </w:pPr>
          </w:p>
        </w:tc>
      </w:tr>
      <w:tr>
        <w:trPr>
          <w:trHeight w:val="220"/>
        </w:trPr>
        <w:tc>
          <w:tcPr>
            <w:tcW w:w="200" w:type="dxa"/>
            <w:vAlign w:val="bottom"/>
            <w:shd w:val="clear" w:color="auto" w:fill="CCEEFF"/>
          </w:tcPr>
          <w:p>
            <w:pPr>
              <w:spacing w:after="0"/>
              <w:rPr>
                <w:sz w:val="19"/>
                <w:szCs w:val="19"/>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income and fair value adjustments, net: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15.134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45,315</w:t>
            </w:r>
          </w:p>
        </w:tc>
        <w:tc>
          <w:tcPr>
            <w:tcW w:w="0" w:type="dxa"/>
            <w:vAlign w:val="bottom"/>
          </w:tcPr>
          <w:p>
            <w:pPr>
              <w:spacing w:after="0"/>
              <w:rPr>
                <w:sz w:val="1"/>
                <w:szCs w:val="1"/>
                <w:color w:val="auto"/>
              </w:rPr>
            </w:pPr>
          </w:p>
        </w:tc>
      </w:tr>
      <w:tr>
        <w:trPr>
          <w:trHeight w:val="220"/>
        </w:trPr>
        <w:tc>
          <w:tcPr>
            <w:tcW w:w="200" w:type="dxa"/>
            <w:vAlign w:val="bottom"/>
            <w:shd w:val="clear" w:color="auto" w:fill="CCEEFF"/>
          </w:tcPr>
          <w:p>
            <w:pPr>
              <w:spacing w:after="0"/>
              <w:rPr>
                <w:sz w:val="19"/>
                <w:szCs w:val="19"/>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(959)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(7,132)</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7"/>
                <w:szCs w:val="17"/>
                <w:color w:val="auto"/>
              </w:rPr>
              <w:t>Fair value and other adjustments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7"/>
                <w:szCs w:val="17"/>
                <w:color w:val="auto"/>
                <w:w w:val="94"/>
              </w:rPr>
              <w:t>(18.021)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(52,397)</w:t>
            </w:r>
          </w:p>
        </w:tc>
        <w:tc>
          <w:tcPr>
            <w:tcW w:w="0" w:type="dxa"/>
            <w:vAlign w:val="bottom"/>
          </w:tcPr>
          <w:p>
            <w:pPr>
              <w:spacing w:after="0"/>
              <w:rPr>
                <w:sz w:val="1"/>
                <w:szCs w:val="1"/>
                <w:color w:val="auto"/>
              </w:rPr>
            </w:pPr>
          </w:p>
        </w:tc>
      </w:tr>
      <w:tr>
        <w:trPr>
          <w:trHeight w:val="220"/>
        </w:trPr>
        <w:tc>
          <w:tcPr>
            <w:tcW w:w="200" w:type="dxa"/>
            <w:vAlign w:val="bottom"/>
            <w:shd w:val="clear" w:color="auto" w:fill="CCEEFF"/>
          </w:tcPr>
          <w:p>
            <w:pPr>
              <w:spacing w:after="0"/>
              <w:rPr>
                <w:sz w:val="19"/>
                <w:szCs w:val="19"/>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income and fair value adjustments, net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(3,846)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(14,214)</w:t>
            </w:r>
          </w:p>
        </w:tc>
        <w:tc>
          <w:tcPr>
            <w:tcW w:w="0" w:type="dxa"/>
            <w:vAlign w:val="bottom"/>
          </w:tcPr>
          <w:p>
            <w:pPr>
              <w:spacing w:after="0"/>
              <w:rPr>
                <w:sz w:val="1"/>
                <w:szCs w:val="1"/>
                <w:color w:val="auto"/>
              </w:rPr>
            </w:pPr>
          </w:p>
        </w:tc>
      </w:tr>
      <w:tr>
        <w:trPr>
          <w:trHeight w:val="211"/>
        </w:trPr>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1"/>
              </w:rPr>
              <w:t>310,136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102,927</w:t>
            </w:r>
          </w:p>
        </w:tc>
        <w:tc>
          <w:tcPr>
            <w:tcW w:w="0" w:type="dxa"/>
            <w:vAlign w:val="bottom"/>
          </w:tcPr>
          <w:p>
            <w:pPr>
              <w:spacing w:after="0"/>
              <w:rPr>
                <w:sz w:val="1"/>
                <w:szCs w:val="1"/>
                <w:color w:val="auto"/>
              </w:rPr>
            </w:pPr>
          </w:p>
        </w:tc>
      </w:tr>
      <w:tr>
        <w:trPr>
          <w:trHeight w:val="200"/>
        </w:trPr>
        <w:tc>
          <w:tcPr>
            <w:tcW w:w="532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7"/>
                <w:szCs w:val="17"/>
                <w:color w:val="auto"/>
              </w:rPr>
              <w:t>Sales and marketing</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w w:val="91"/>
              </w:rPr>
              <w:t>133,449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31,438</w:t>
            </w:r>
          </w:p>
        </w:tc>
        <w:tc>
          <w:tcPr>
            <w:tcW w:w="0" w:type="dxa"/>
            <w:vAlign w:val="bottom"/>
          </w:tcPr>
          <w:p>
            <w:pPr>
              <w:spacing w:after="0"/>
              <w:rPr>
                <w:sz w:val="1"/>
                <w:szCs w:val="1"/>
                <w:color w:val="auto"/>
              </w:rPr>
            </w:pPr>
          </w:p>
        </w:tc>
      </w:tr>
      <w:tr>
        <w:trPr>
          <w:trHeight w:val="220"/>
        </w:trPr>
        <w:tc>
          <w:tcPr>
            <w:tcW w:w="200" w:type="dxa"/>
            <w:vAlign w:val="bottom"/>
            <w:shd w:val="clear" w:color="auto" w:fill="CCEEFF"/>
          </w:tcPr>
          <w:p>
            <w:pPr>
              <w:spacing w:after="0"/>
              <w:rPr>
                <w:sz w:val="19"/>
                <w:szCs w:val="19"/>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Customer operations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48,407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40,590</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7"/>
                <w:szCs w:val="17"/>
                <w:color w:val="auto"/>
              </w:rPr>
              <w:t>Engineering and product development</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49,991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110,071</w:t>
            </w:r>
          </w:p>
        </w:tc>
        <w:tc>
          <w:tcPr>
            <w:tcW w:w="0" w:type="dxa"/>
            <w:vAlign w:val="bottom"/>
          </w:tcPr>
          <w:p>
            <w:pPr>
              <w:spacing w:after="0"/>
              <w:rPr>
                <w:sz w:val="1"/>
                <w:szCs w:val="1"/>
                <w:color w:val="auto"/>
              </w:rPr>
            </w:pPr>
          </w:p>
        </w:tc>
      </w:tr>
      <w:tr>
        <w:trPr>
          <w:trHeight w:val="220"/>
        </w:trPr>
        <w:tc>
          <w:tcPr>
            <w:tcW w:w="200" w:type="dxa"/>
            <w:vAlign w:val="bottom"/>
            <w:shd w:val="clear" w:color="auto" w:fill="CCEEFF"/>
          </w:tcPr>
          <w:p>
            <w:pPr>
              <w:spacing w:after="0"/>
              <w:rPr>
                <w:sz w:val="19"/>
                <w:szCs w:val="19"/>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General, administrative, and other</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43,456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52,663</w:t>
            </w:r>
          </w:p>
        </w:tc>
        <w:tc>
          <w:tcPr>
            <w:tcW w:w="0" w:type="dxa"/>
            <w:vAlign w:val="bottom"/>
          </w:tcPr>
          <w:p>
            <w:pPr>
              <w:spacing w:after="0"/>
              <w:rPr>
                <w:sz w:val="1"/>
                <w:szCs w:val="1"/>
                <w:color w:val="auto"/>
              </w:rPr>
            </w:pPr>
          </w:p>
        </w:tc>
      </w:tr>
      <w:tr>
        <w:trPr>
          <w:trHeight w:val="211"/>
        </w:trPr>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1"/>
              </w:rPr>
              <w:t>275,303</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234,762</w:t>
            </w:r>
          </w:p>
        </w:tc>
        <w:tc>
          <w:tcPr>
            <w:tcW w:w="0" w:type="dxa"/>
            <w:vAlign w:val="bottom"/>
          </w:tcPr>
          <w:p>
            <w:pPr>
              <w:spacing w:after="0"/>
              <w:rPr>
                <w:sz w:val="1"/>
                <w:szCs w:val="1"/>
                <w:color w:val="auto"/>
              </w:rPr>
            </w:pPr>
          </w:p>
        </w:tc>
      </w:tr>
      <w:tr>
        <w:trPr>
          <w:trHeight w:val="21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34,833</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0"/>
              </w:rPr>
              <w:t>(131,835)</w:t>
            </w:r>
          </w:p>
        </w:tc>
        <w:tc>
          <w:tcPr>
            <w:tcW w:w="0" w:type="dxa"/>
            <w:vAlign w:val="bottom"/>
          </w:tcPr>
          <w:p>
            <w:pPr>
              <w:spacing w:after="0"/>
              <w:rPr>
                <w:sz w:val="1"/>
                <w:szCs w:val="1"/>
                <w:color w:val="auto"/>
              </w:rPr>
            </w:pPr>
          </w:p>
        </w:tc>
      </w:tr>
      <w:tr>
        <w:trPr>
          <w:trHeight w:val="211"/>
        </w:trPr>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 (expense), net</w:t>
            </w:r>
          </w:p>
        </w:tc>
        <w:tc>
          <w:tcPr>
            <w:tcW w:w="3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color w:val="auto"/>
              </w:rPr>
              <w:t>(2,122)</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2,597</w:t>
            </w:r>
          </w:p>
        </w:tc>
        <w:tc>
          <w:tcPr>
            <w:tcW w:w="0" w:type="dxa"/>
            <w:vAlign w:val="bottom"/>
          </w:tcPr>
          <w:p>
            <w:pPr>
              <w:spacing w:after="0"/>
              <w:rPr>
                <w:sz w:val="1"/>
                <w:szCs w:val="1"/>
                <w:color w:val="auto"/>
              </w:rPr>
            </w:pPr>
          </w:p>
        </w:tc>
      </w:tr>
      <w:tr>
        <w:trPr>
          <w:trHeight w:val="21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 before income taxes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32,711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0"/>
              </w:rPr>
              <w:t>(129,238)</w:t>
            </w:r>
          </w:p>
        </w:tc>
        <w:tc>
          <w:tcPr>
            <w:tcW w:w="0" w:type="dxa"/>
            <w:vAlign w:val="bottom"/>
          </w:tcPr>
          <w:p>
            <w:pPr>
              <w:spacing w:after="0"/>
              <w:rPr>
                <w:sz w:val="1"/>
                <w:szCs w:val="1"/>
                <w:color w:val="auto"/>
              </w:rPr>
            </w:pPr>
          </w:p>
        </w:tc>
      </w:tr>
      <w:tr>
        <w:trPr>
          <w:trHeight w:val="218"/>
        </w:trPr>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Provision for income taxes</w:t>
            </w:r>
          </w:p>
        </w:tc>
        <w:tc>
          <w:tcPr>
            <w:tcW w:w="3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2"/>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32,692</w:t>
            </w:r>
          </w:p>
        </w:tc>
        <w:tc>
          <w:tcPr>
            <w:tcW w:w="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0"/>
              </w:rPr>
              <w:t>(129,254)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________</w:t>
            </w: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20"/>
                <w:szCs w:val="20"/>
                <w:color w:val="auto"/>
              </w:rPr>
            </w:pPr>
            <w:r>
              <w:rPr>
                <w:rFonts w:ascii="Arial" w:cs="Arial" w:eastAsia="Arial" w:hAnsi="Arial"/>
                <w:sz w:val="14"/>
                <w:szCs w:val="14"/>
                <w:color w:val="auto"/>
              </w:rPr>
              <w:t>(1)</w:t>
            </w:r>
          </w:p>
        </w:tc>
        <w:tc>
          <w:tcPr>
            <w:tcW w:w="5120" w:type="dxa"/>
            <w:vAlign w:val="bottom"/>
          </w:tcPr>
          <w:p>
            <w:pPr>
              <w:ind w:left="260"/>
              <w:spacing w:after="0"/>
              <w:rPr>
                <w:sz w:val="20"/>
                <w:szCs w:val="20"/>
                <w:color w:val="auto"/>
              </w:rPr>
            </w:pPr>
            <w:r>
              <w:rPr>
                <w:rFonts w:ascii="Arial" w:cs="Arial" w:eastAsia="Arial" w:hAnsi="Arial"/>
                <w:sz w:val="14"/>
                <w:szCs w:val="14"/>
                <w:color w:val="auto"/>
              </w:rPr>
              <w:t>Includes stock-based compensation expense as follows:</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gridSpan w:val="10"/>
          </w:tcPr>
          <w:p>
            <w:pPr>
              <w:jc w:val="center"/>
              <w:ind w:right="80"/>
              <w:spacing w:after="0"/>
              <w:rPr>
                <w:sz w:val="20"/>
                <w:szCs w:val="20"/>
                <w:color w:val="auto"/>
              </w:rPr>
            </w:pPr>
            <w:r>
              <w:rPr>
                <w:rFonts w:ascii="Arial" w:cs="Arial" w:eastAsia="Arial" w:hAnsi="Arial"/>
                <w:sz w:val="17"/>
                <w:szCs w:val="17"/>
                <w:b w:val="1"/>
                <w:bCs w:val="1"/>
                <w:color w:val="auto"/>
                <w:w w:val="93"/>
              </w:rPr>
              <w:t>Three Months Ended March 31,</w:t>
            </w:r>
          </w:p>
        </w:tc>
        <w:tc>
          <w:tcPr>
            <w:tcW w:w="0" w:type="dxa"/>
            <w:vAlign w:val="bottom"/>
          </w:tcPr>
          <w:p>
            <w:pPr>
              <w:spacing w:after="0"/>
              <w:rPr>
                <w:sz w:val="1"/>
                <w:szCs w:val="1"/>
                <w:color w:val="auto"/>
              </w:rPr>
            </w:pPr>
          </w:p>
        </w:tc>
      </w:tr>
      <w:tr>
        <w:trPr>
          <w:trHeight w:val="213"/>
        </w:trPr>
        <w:tc>
          <w:tcPr>
            <w:tcW w:w="20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2023</w:t>
            </w: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2,238</w:t>
            </w: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Customer operations</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1,619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Engineering and product development</w:t>
            </w:r>
          </w:p>
        </w:tc>
        <w:tc>
          <w:tcPr>
            <w:tcW w:w="3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9"/>
              </w:rPr>
              <w:t>13,634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56,660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General, administrative, and other</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7,559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11,195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9"/>
              </w:rPr>
              <w:t>25,050</w:t>
            </w:r>
          </w:p>
        </w:tc>
        <w:tc>
          <w:tcPr>
            <w:tcW w:w="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74,109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Revenue</w:t>
            </w: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5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3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Revenue from Fees, Net</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0" w:type="dxa"/>
            <w:vAlign w:val="bottom"/>
          </w:tcPr>
          <w:p>
            <w:pPr>
              <w:spacing w:after="0"/>
              <w:rPr>
                <w:sz w:val="24"/>
                <w:szCs w:val="24"/>
                <w:color w:val="auto"/>
              </w:rPr>
            </w:pPr>
          </w:p>
        </w:tc>
        <w:tc>
          <w:tcPr>
            <w:tcW w:w="6860" w:type="dxa"/>
            <w:vAlign w:val="bottom"/>
            <w:gridSpan w:val="4"/>
          </w:tcPr>
          <w:p>
            <w:pPr>
              <w:ind w:left="420"/>
              <w:spacing w:after="0"/>
              <w:rPr>
                <w:sz w:val="20"/>
                <w:szCs w:val="20"/>
                <w:color w:val="auto"/>
              </w:rPr>
            </w:pPr>
            <w:r>
              <w:rPr>
                <w:rFonts w:ascii="Arial" w:cs="Arial" w:eastAsia="Arial" w:hAnsi="Arial"/>
                <w:sz w:val="17"/>
                <w:szCs w:val="17"/>
                <w:color w:val="auto"/>
              </w:rPr>
              <w:t>The following table sets forth our revenue from fees, net in the periods presented:</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2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7"/>
                <w:szCs w:val="17"/>
                <w:b w:val="1"/>
                <w:bCs w:val="1"/>
                <w:color w:val="auto"/>
              </w:rPr>
              <w:t>Three Months Ended March 31,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Change</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Platform and referral fees, net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77,657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80" w:type="dxa"/>
            <w:vAlign w:val="bottom"/>
            <w:gridSpan w:val="5"/>
            <w:shd w:val="clear" w:color="auto" w:fill="CCEEFF"/>
          </w:tcPr>
          <w:p>
            <w:pPr>
              <w:jc w:val="right"/>
              <w:ind w:right="554"/>
              <w:spacing w:after="0"/>
              <w:rPr>
                <w:sz w:val="20"/>
                <w:szCs w:val="20"/>
                <w:color w:val="auto"/>
              </w:rPr>
            </w:pPr>
            <w:r>
              <w:rPr>
                <w:rFonts w:ascii="Arial" w:cs="Arial" w:eastAsia="Arial" w:hAnsi="Arial"/>
                <w:sz w:val="17"/>
                <w:szCs w:val="17"/>
                <w:color w:val="auto"/>
              </w:rPr>
              <w:t>(194,155)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Servicing and other fees, net</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42,170</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39,484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5"/>
          </w:tcPr>
          <w:p>
            <w:pPr>
              <w:jc w:val="right"/>
              <w:ind w:right="594"/>
              <w:spacing w:after="0"/>
              <w:rPr>
                <w:sz w:val="20"/>
                <w:szCs w:val="20"/>
                <w:color w:val="auto"/>
              </w:rPr>
            </w:pPr>
            <w:r>
              <w:rPr>
                <w:rFonts w:ascii="Arial" w:cs="Arial" w:eastAsia="Arial" w:hAnsi="Arial"/>
                <w:sz w:val="17"/>
                <w:szCs w:val="17"/>
                <w:color w:val="auto"/>
              </w:rPr>
              <w:t>(2,686)</w:t>
            </w:r>
          </w:p>
        </w:tc>
        <w:tc>
          <w:tcPr>
            <w:tcW w:w="7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8"/>
        </w:trPr>
        <w:tc>
          <w:tcPr>
            <w:tcW w:w="20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 from fees, net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313,982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117,141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gridSpan w:val="5"/>
            <w:shd w:val="clear" w:color="auto" w:fill="CCEEFF"/>
          </w:tcPr>
          <w:p>
            <w:pPr>
              <w:jc w:val="right"/>
              <w:ind w:right="554"/>
              <w:spacing w:after="0"/>
              <w:rPr>
                <w:sz w:val="20"/>
                <w:szCs w:val="20"/>
                <w:color w:val="auto"/>
              </w:rPr>
            </w:pPr>
            <w:r>
              <w:rPr>
                <w:rFonts w:ascii="Arial" w:cs="Arial" w:eastAsia="Arial" w:hAnsi="Arial"/>
                <w:sz w:val="17"/>
                <w:szCs w:val="17"/>
                <w:color w:val="auto"/>
              </w:rPr>
              <w:t>(196,841)</w:t>
            </w: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Revenue from fees, net decreased $196.8 million, or 63%, in the three months ended March 31, 2023, compared to the prior period, which included a decrease of $194.2 million in revenue from platform and referral</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fees, net. and a decrease of $2.7 million in servicing and other fees, net. The decrease of the platform and referral fees, net was primarily driven by an 81.9% decrease in the Transaction Volume, Number of Loans from 465,537 in the three months ended March 31, 2022 to 84,084 in the same period in 2023, which was partially offset by increases in prices of our services.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Pr>
          <w:p>
            <w:pPr>
              <w:spacing w:after="0"/>
              <w:rPr>
                <w:sz w:val="20"/>
                <w:szCs w:val="20"/>
                <w:color w:val="auto"/>
              </w:rPr>
            </w:pPr>
            <w:r>
              <w:rPr>
                <w:rFonts w:ascii="Arial" w:cs="Arial" w:eastAsia="Arial" w:hAnsi="Arial"/>
                <w:sz w:val="17"/>
                <w:szCs w:val="17"/>
                <w:b w:val="1"/>
                <w:bCs w:val="1"/>
                <w:i w:val="1"/>
                <w:iCs w:val="1"/>
                <w:color w:val="auto"/>
              </w:rPr>
              <w:t>Interest Income and Fair Value Adjustments, Net</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84"/>
        </w:trPr>
        <w:tc>
          <w:tcPr>
            <w:tcW w:w="5280" w:type="dxa"/>
            <w:vAlign w:val="bottom"/>
          </w:tcPr>
          <w:p>
            <w:pPr>
              <w:spacing w:after="0"/>
              <w:rPr>
                <w:sz w:val="24"/>
                <w:szCs w:val="24"/>
                <w:color w:val="auto"/>
              </w:rPr>
            </w:pPr>
          </w:p>
        </w:tc>
        <w:tc>
          <w:tcPr>
            <w:tcW w:w="3460" w:type="dxa"/>
            <w:vAlign w:val="bottom"/>
            <w:tcBorders>
              <w:bottom w:val="single" w:sz="8" w:color="auto"/>
            </w:tcBorders>
            <w:gridSpan w:val="5"/>
          </w:tcPr>
          <w:p>
            <w:pPr>
              <w:jc w:val="right"/>
              <w:ind w:right="474"/>
              <w:spacing w:after="0"/>
              <w:rPr>
                <w:sz w:val="20"/>
                <w:szCs w:val="20"/>
                <w:color w:val="auto"/>
              </w:rPr>
            </w:pPr>
            <w:r>
              <w:rPr>
                <w:rFonts w:ascii="Arial" w:cs="Arial" w:eastAsia="Arial" w:hAnsi="Arial"/>
                <w:sz w:val="17"/>
                <w:szCs w:val="17"/>
                <w:b w:val="1"/>
                <w:bCs w:val="1"/>
                <w:color w:val="auto"/>
              </w:rPr>
              <w:t>Three Months Ended March 31,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640"/>
              <w:spacing w:after="0"/>
              <w:rPr>
                <w:sz w:val="20"/>
                <w:szCs w:val="20"/>
                <w:color w:val="auto"/>
              </w:rPr>
            </w:pPr>
            <w:r>
              <w:rPr>
                <w:rFonts w:ascii="Arial" w:cs="Arial" w:eastAsia="Arial" w:hAnsi="Arial"/>
                <w:sz w:val="17"/>
                <w:szCs w:val="17"/>
                <w:b w:val="1"/>
                <w:bCs w:val="1"/>
                <w:color w:val="auto"/>
              </w:rPr>
              <w:t>Change</w:t>
            </w:r>
          </w:p>
        </w:tc>
        <w:tc>
          <w:tcPr>
            <w:tcW w:w="800" w:type="dxa"/>
            <w:vAlign w:val="bottom"/>
            <w:tcBorders>
              <w:bottom w:val="single" w:sz="8" w:color="auto"/>
            </w:tcBorders>
          </w:tcPr>
          <w:p>
            <w:pPr>
              <w:spacing w:after="0"/>
              <w:rPr>
                <w:sz w:val="24"/>
                <w:szCs w:val="24"/>
                <w:color w:val="auto"/>
              </w:rPr>
            </w:pPr>
          </w:p>
        </w:tc>
      </w:tr>
      <w:tr>
        <w:trPr>
          <w:trHeight w:val="251"/>
        </w:trPr>
        <w:tc>
          <w:tcPr>
            <w:tcW w:w="52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w:t>
            </w: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45,315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199 %</w:t>
            </w: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(644)%</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adjustments, net</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(18,021)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13"/>
        </w:trPr>
        <w:tc>
          <w:tcPr>
            <w:tcW w:w="5280" w:type="dxa"/>
            <w:vAlign w:val="bottom"/>
          </w:tcPr>
          <w:p>
            <w:pPr>
              <w:ind w:left="20"/>
              <w:spacing w:after="0"/>
              <w:rPr>
                <w:sz w:val="20"/>
                <w:szCs w:val="20"/>
                <w:color w:val="auto"/>
              </w:rPr>
            </w:pPr>
            <w:r>
              <w:rPr>
                <w:rFonts w:ascii="Arial" w:cs="Arial" w:eastAsia="Arial" w:hAnsi="Arial"/>
                <w:sz w:val="17"/>
                <w:szCs w:val="17"/>
                <w:color w:val="auto"/>
              </w:rPr>
              <w:t>Total interest income and fair value adjustments, net</w:t>
            </w:r>
          </w:p>
        </w:tc>
        <w:tc>
          <w:tcPr>
            <w:tcW w:w="104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(14,214)</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(10,368)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(270)%</w:t>
            </w: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For the three months ended March 31, 2023, interest income and fair value adjustments, net decreased $10.4 million, or 270%, compared to the prior period. The decrease was primarily driven by a $25.2 million increase in unfavorable fair value adjustments for the three months ended March 31, 2023 compared to the three months ended March 31, 2022, which includes an unrealized loss as a negative fair value adjustment of $17.0 million for the quarter ended March 31, 2023 that the Company recorded in connection with a planned sale of a pool of Upstart-powered loans, subsequent to March 31, 2023. Refer to “</w:t>
      </w:r>
      <w:r>
        <w:rPr>
          <w:rFonts w:ascii="Arial" w:cs="Arial" w:eastAsia="Arial" w:hAnsi="Arial"/>
          <w:sz w:val="17"/>
          <w:szCs w:val="17"/>
          <w:i w:val="1"/>
          <w:iCs w:val="1"/>
          <w:color w:val="auto"/>
        </w:rPr>
        <w:t>Note 14,</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Subsequent events, </w:t>
      </w:r>
      <w:r>
        <w:rPr>
          <w:rFonts w:ascii="Arial" w:cs="Arial" w:eastAsia="Arial" w:hAnsi="Arial"/>
          <w:sz w:val="17"/>
          <w:szCs w:val="17"/>
          <w:color w:val="auto"/>
        </w:rPr>
        <w:t>for additional details. The Company also recognized a $7.9 million of realized loss on the sale of loans compared to a $1.3 million gain on loan</w:t>
      </w:r>
      <w:r>
        <w:rPr>
          <w:rFonts w:ascii="Arial" w:cs="Arial" w:eastAsia="Arial" w:hAnsi="Arial"/>
          <w:sz w:val="17"/>
          <w:szCs w:val="17"/>
          <w:i w:val="1"/>
          <w:iCs w:val="1"/>
          <w:color w:val="auto"/>
        </w:rPr>
        <w:t xml:space="preserve"> </w:t>
      </w:r>
      <w:r>
        <w:rPr>
          <w:rFonts w:ascii="Arial" w:cs="Arial" w:eastAsia="Arial" w:hAnsi="Arial"/>
          <w:sz w:val="17"/>
          <w:szCs w:val="17"/>
          <w:color w:val="auto"/>
        </w:rPr>
        <w:t>sales in the prior period. The changes were primarily due to the rising interest rate environment and higher loan delinquency rates. The increase in the negative fair value adjustments was partially offset by an increase in interest income due to an increase in unpaid principal balance of loans held on the condensed 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09"/>
        </w:trPr>
        <w:tc>
          <w:tcPr>
            <w:tcW w:w="5100" w:type="dxa"/>
            <w:vAlign w:val="bottom"/>
          </w:tcPr>
          <w:p>
            <w:pPr>
              <w:spacing w:after="0"/>
              <w:rPr>
                <w:sz w:val="20"/>
                <w:szCs w:val="20"/>
                <w:color w:val="auto"/>
              </w:rPr>
            </w:pPr>
            <w:r>
              <w:rPr>
                <w:rFonts w:ascii="Arial" w:cs="Arial" w:eastAsia="Arial" w:hAnsi="Arial"/>
                <w:sz w:val="17"/>
                <w:szCs w:val="17"/>
                <w:b w:val="1"/>
                <w:bCs w:val="1"/>
                <w:i w:val="1"/>
                <w:iCs w:val="1"/>
                <w:color w:val="auto"/>
              </w:rPr>
              <w:t>Sales and Marketing</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4"/>
        </w:trPr>
        <w:tc>
          <w:tcPr>
            <w:tcW w:w="5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gridSpan w:val="5"/>
          </w:tcPr>
          <w:p>
            <w:pPr>
              <w:ind w:left="280"/>
              <w:spacing w:after="0"/>
              <w:rPr>
                <w:sz w:val="20"/>
                <w:szCs w:val="20"/>
                <w:color w:val="auto"/>
              </w:rPr>
            </w:pPr>
            <w:r>
              <w:rPr>
                <w:rFonts w:ascii="Arial" w:cs="Arial" w:eastAsia="Arial" w:hAnsi="Arial"/>
                <w:sz w:val="17"/>
                <w:szCs w:val="17"/>
                <w:b w:val="1"/>
                <w:bCs w:val="1"/>
                <w:color w:val="auto"/>
              </w:rPr>
              <w:t>Three Months Ended March 31,</w:t>
            </w:r>
          </w:p>
        </w:tc>
        <w:tc>
          <w:tcPr>
            <w:tcW w:w="240" w:type="dxa"/>
            <w:vAlign w:val="bottom"/>
          </w:tcPr>
          <w:p>
            <w:pPr>
              <w:spacing w:after="0"/>
              <w:rPr>
                <w:sz w:val="24"/>
                <w:szCs w:val="24"/>
                <w:color w:val="auto"/>
              </w:rPr>
            </w:pPr>
          </w:p>
        </w:tc>
        <w:tc>
          <w:tcPr>
            <w:tcW w:w="1340" w:type="dxa"/>
            <w:vAlign w:val="bottom"/>
            <w:gridSpan w:val="3"/>
          </w:tcPr>
          <w:p>
            <w:pPr>
              <w:ind w:left="660"/>
              <w:spacing w:after="0"/>
              <w:rPr>
                <w:sz w:val="20"/>
                <w:szCs w:val="20"/>
                <w:color w:val="auto"/>
              </w:rPr>
            </w:pPr>
            <w:r>
              <w:rPr>
                <w:rFonts w:ascii="Arial" w:cs="Arial" w:eastAsia="Arial" w:hAnsi="Arial"/>
                <w:sz w:val="17"/>
                <w:szCs w:val="17"/>
                <w:b w:val="1"/>
                <w:bCs w:val="1"/>
                <w:color w:val="auto"/>
              </w:rPr>
              <w:t>Change</w:t>
            </w:r>
          </w:p>
        </w:tc>
        <w:tc>
          <w:tcPr>
            <w:tcW w:w="780" w:type="dxa"/>
            <w:vAlign w:val="bottom"/>
          </w:tcPr>
          <w:p>
            <w:pPr>
              <w:spacing w:after="0"/>
              <w:rPr>
                <w:sz w:val="24"/>
                <w:szCs w:val="24"/>
                <w:color w:val="auto"/>
              </w:rPr>
            </w:pPr>
          </w:p>
        </w:tc>
      </w:tr>
      <w:tr>
        <w:trPr>
          <w:trHeight w:val="251"/>
        </w:trPr>
        <w:tc>
          <w:tcPr>
            <w:tcW w:w="5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133,449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31,438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i w:val="1"/>
                <w:iCs w:val="1"/>
                <w:color w:val="auto"/>
              </w:rPr>
              <w:t>43 %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i w:val="1"/>
                <w:iCs w:val="1"/>
                <w:color w:val="auto"/>
              </w:rPr>
              <w:t>31 %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7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Sales and marketing expenses decreased by $102.0 million, or 76%, in the three months ended March 31, 2023 compared to the prior period. The decrease was primarily due to a $104.1 million decrease in advertising and other traffic acquisition cost. As a percentage of total revenue, sales and marketing expenses decreased from 43% to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Pr>
          <w:p>
            <w:pPr>
              <w:spacing w:after="0"/>
              <w:rPr>
                <w:sz w:val="20"/>
                <w:szCs w:val="20"/>
                <w:color w:val="auto"/>
              </w:rPr>
            </w:pPr>
            <w:r>
              <w:rPr>
                <w:rFonts w:ascii="Arial" w:cs="Arial" w:eastAsia="Arial" w:hAnsi="Arial"/>
                <w:sz w:val="17"/>
                <w:szCs w:val="17"/>
                <w:b w:val="1"/>
                <w:bCs w:val="1"/>
                <w:i w:val="1"/>
                <w:iCs w:val="1"/>
                <w:color w:val="auto"/>
              </w:rPr>
              <w:t>Customer Operations</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91"/>
        </w:trPr>
        <w:tc>
          <w:tcPr>
            <w:tcW w:w="5200" w:type="dxa"/>
            <w:vAlign w:val="bottom"/>
          </w:tcPr>
          <w:p>
            <w:pPr>
              <w:spacing w:after="0"/>
              <w:rPr>
                <w:sz w:val="24"/>
                <w:szCs w:val="24"/>
                <w:color w:val="auto"/>
              </w:rPr>
            </w:pPr>
          </w:p>
        </w:tc>
        <w:tc>
          <w:tcPr>
            <w:tcW w:w="3760" w:type="dxa"/>
            <w:vAlign w:val="bottom"/>
            <w:gridSpan w:val="6"/>
          </w:tcPr>
          <w:p>
            <w:pPr>
              <w:ind w:left="660"/>
              <w:spacing w:after="0"/>
              <w:rPr>
                <w:sz w:val="20"/>
                <w:szCs w:val="20"/>
                <w:color w:val="auto"/>
              </w:rPr>
            </w:pPr>
            <w:r>
              <w:rPr>
                <w:rFonts w:ascii="Arial" w:cs="Arial" w:eastAsia="Arial" w:hAnsi="Arial"/>
                <w:sz w:val="17"/>
                <w:szCs w:val="17"/>
                <w:b w:val="1"/>
                <w:bCs w:val="1"/>
                <w:color w:val="auto"/>
              </w:rPr>
              <w:t>Three Months Ended March 31,</w:t>
            </w:r>
          </w:p>
        </w:tc>
        <w:tc>
          <w:tcPr>
            <w:tcW w:w="300" w:type="dxa"/>
            <w:vAlign w:val="bottom"/>
          </w:tcPr>
          <w:p>
            <w:pPr>
              <w:spacing w:after="0"/>
              <w:rPr>
                <w:sz w:val="24"/>
                <w:szCs w:val="24"/>
                <w:color w:val="auto"/>
              </w:rPr>
            </w:pPr>
          </w:p>
        </w:tc>
        <w:tc>
          <w:tcPr>
            <w:tcW w:w="1160" w:type="dxa"/>
            <w:vAlign w:val="bottom"/>
            <w:gridSpan w:val="3"/>
          </w:tcPr>
          <w:p>
            <w:pPr>
              <w:ind w:left="540"/>
              <w:spacing w:after="0"/>
              <w:rPr>
                <w:sz w:val="20"/>
                <w:szCs w:val="20"/>
                <w:color w:val="auto"/>
              </w:rPr>
            </w:pPr>
            <w:r>
              <w:rPr>
                <w:rFonts w:ascii="Arial" w:cs="Arial" w:eastAsia="Arial" w:hAnsi="Arial"/>
                <w:sz w:val="17"/>
                <w:szCs w:val="17"/>
                <w:b w:val="1"/>
                <w:bCs w:val="1"/>
                <w:color w:val="auto"/>
                <w:w w:val="96"/>
              </w:rPr>
              <w:t>Change</w:t>
            </w:r>
          </w:p>
        </w:tc>
        <w:tc>
          <w:tcPr>
            <w:tcW w:w="800" w:type="dxa"/>
            <w:vAlign w:val="bottom"/>
          </w:tcPr>
          <w:p>
            <w:pPr>
              <w:spacing w:after="0"/>
              <w:rPr>
                <w:sz w:val="24"/>
                <w:szCs w:val="24"/>
                <w:color w:val="auto"/>
              </w:rPr>
            </w:pPr>
          </w:p>
        </w:tc>
      </w:tr>
      <w:tr>
        <w:trPr>
          <w:trHeight w:val="251"/>
        </w:trPr>
        <w:tc>
          <w:tcPr>
            <w:tcW w:w="520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operations</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2"/>
              </w:rPr>
              <w:t>48,407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40,590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(16)%</w:t>
            </w:r>
          </w:p>
        </w:tc>
      </w:tr>
      <w:tr>
        <w:trPr>
          <w:trHeight w:val="218"/>
        </w:trPr>
        <w:tc>
          <w:tcPr>
            <w:tcW w:w="520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i w:val="1"/>
                <w:iCs w:val="1"/>
                <w:color w:val="auto"/>
              </w:rPr>
              <w:t>16 %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i w:val="1"/>
                <w:iCs w:val="1"/>
                <w:color w:val="auto"/>
              </w:rPr>
              <w:t>39 %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86"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7"/>
          <w:szCs w:val="17"/>
          <w:color w:val="auto"/>
        </w:rPr>
        <w:t>Customer operations expenses decreased by $7.8 million, or 16%, in the three months ended March 31, 2023, compared to the prior period. The decrease was primarily due to a $6.4 million decrease in payroll and other personnel-related expenses. As a percentage of total revenue, customer operations expenses increased from 16% to 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spacing w:after="0"/>
              <w:rPr>
                <w:sz w:val="20"/>
                <w:szCs w:val="20"/>
                <w:color w:val="auto"/>
              </w:rPr>
            </w:pPr>
            <w:r>
              <w:rPr>
                <w:rFonts w:ascii="Arial" w:cs="Arial" w:eastAsia="Arial" w:hAnsi="Arial"/>
                <w:sz w:val="17"/>
                <w:szCs w:val="17"/>
                <w:b w:val="1"/>
                <w:bCs w:val="1"/>
                <w:i w:val="1"/>
                <w:iCs w:val="1"/>
                <w:color w:val="auto"/>
              </w:rPr>
              <w:t>Engineering and Product Development</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91"/>
        </w:trPr>
        <w:tc>
          <w:tcPr>
            <w:tcW w:w="5140" w:type="dxa"/>
            <w:vAlign w:val="bottom"/>
          </w:tcPr>
          <w:p>
            <w:pPr>
              <w:spacing w:after="0"/>
              <w:rPr>
                <w:sz w:val="24"/>
                <w:szCs w:val="24"/>
                <w:color w:val="auto"/>
              </w:rPr>
            </w:pPr>
          </w:p>
        </w:tc>
        <w:tc>
          <w:tcPr>
            <w:tcW w:w="3720" w:type="dxa"/>
            <w:vAlign w:val="bottom"/>
            <w:gridSpan w:val="6"/>
          </w:tcPr>
          <w:p>
            <w:pPr>
              <w:ind w:left="640"/>
              <w:spacing w:after="0"/>
              <w:rPr>
                <w:sz w:val="20"/>
                <w:szCs w:val="20"/>
                <w:color w:val="auto"/>
              </w:rPr>
            </w:pPr>
            <w:r>
              <w:rPr>
                <w:rFonts w:ascii="Arial" w:cs="Arial" w:eastAsia="Arial" w:hAnsi="Arial"/>
                <w:sz w:val="17"/>
                <w:szCs w:val="17"/>
                <w:b w:val="1"/>
                <w:bCs w:val="1"/>
                <w:color w:val="auto"/>
              </w:rPr>
              <w:t>Three Months Ended March 31,</w:t>
            </w:r>
          </w:p>
        </w:tc>
        <w:tc>
          <w:tcPr>
            <w:tcW w:w="300" w:type="dxa"/>
            <w:vAlign w:val="bottom"/>
          </w:tcPr>
          <w:p>
            <w:pPr>
              <w:spacing w:after="0"/>
              <w:rPr>
                <w:sz w:val="24"/>
                <w:szCs w:val="24"/>
                <w:color w:val="auto"/>
              </w:rPr>
            </w:pPr>
          </w:p>
        </w:tc>
        <w:tc>
          <w:tcPr>
            <w:tcW w:w="1260" w:type="dxa"/>
            <w:vAlign w:val="bottom"/>
            <w:gridSpan w:val="3"/>
          </w:tcPr>
          <w:p>
            <w:pPr>
              <w:ind w:left="600"/>
              <w:spacing w:after="0"/>
              <w:rPr>
                <w:sz w:val="20"/>
                <w:szCs w:val="20"/>
                <w:color w:val="auto"/>
              </w:rPr>
            </w:pPr>
            <w:r>
              <w:rPr>
                <w:rFonts w:ascii="Arial" w:cs="Arial" w:eastAsia="Arial" w:hAnsi="Arial"/>
                <w:sz w:val="17"/>
                <w:szCs w:val="17"/>
                <w:b w:val="1"/>
                <w:bCs w:val="1"/>
                <w:color w:val="auto"/>
              </w:rPr>
              <w:t>Change</w:t>
            </w:r>
          </w:p>
        </w:tc>
        <w:tc>
          <w:tcPr>
            <w:tcW w:w="800" w:type="dxa"/>
            <w:vAlign w:val="bottom"/>
          </w:tcPr>
          <w:p>
            <w:pPr>
              <w:spacing w:after="0"/>
              <w:rPr>
                <w:sz w:val="24"/>
                <w:szCs w:val="24"/>
                <w:color w:val="auto"/>
              </w:rPr>
            </w:pPr>
          </w:p>
        </w:tc>
      </w:tr>
      <w:tr>
        <w:trPr>
          <w:trHeight w:val="251"/>
        </w:trPr>
        <w:tc>
          <w:tcPr>
            <w:tcW w:w="514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Engineering and product development</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8"/>
              </w:rPr>
              <w:t>49,991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110,071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120 %</w:t>
            </w: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i w:val="1"/>
                <w:iCs w:val="1"/>
                <w:color w:val="auto"/>
              </w:rPr>
              <w:t>16 %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i w:val="1"/>
                <w:iCs w:val="1"/>
                <w:color w:val="auto"/>
              </w:rPr>
              <w:t>107 %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8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Engineering and product development expenses increased by $60.1 million, or 120%, for the three months ended March 31, 2023, compared to the prior period. The increase was primarily due to an increase of $56.9 million in payroll and other personnel-related expenses driven by an expense related to the cancellation of PRSUs, an increase in headcount, and severance payments under the January 2023 Plan. As a percentage of total revenue, engineering and product development expenses increased from 16% to 107%.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spacing w:after="0"/>
              <w:rPr>
                <w:sz w:val="20"/>
                <w:szCs w:val="20"/>
                <w:color w:val="auto"/>
              </w:rPr>
            </w:pPr>
            <w:r>
              <w:rPr>
                <w:rFonts w:ascii="Arial" w:cs="Arial" w:eastAsia="Arial" w:hAnsi="Arial"/>
                <w:sz w:val="17"/>
                <w:szCs w:val="17"/>
                <w:b w:val="1"/>
                <w:bCs w:val="1"/>
                <w:i w:val="1"/>
                <w:iCs w:val="1"/>
                <w:color w:val="auto"/>
              </w:rPr>
              <w:t>General, Administrative, and Other</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91"/>
        </w:trPr>
        <w:tc>
          <w:tcPr>
            <w:tcW w:w="5140" w:type="dxa"/>
            <w:vAlign w:val="bottom"/>
          </w:tcPr>
          <w:p>
            <w:pPr>
              <w:spacing w:after="0"/>
              <w:rPr>
                <w:sz w:val="24"/>
                <w:szCs w:val="24"/>
                <w:color w:val="auto"/>
              </w:rPr>
            </w:pPr>
          </w:p>
        </w:tc>
        <w:tc>
          <w:tcPr>
            <w:tcW w:w="3720" w:type="dxa"/>
            <w:vAlign w:val="bottom"/>
            <w:gridSpan w:val="6"/>
          </w:tcPr>
          <w:p>
            <w:pPr>
              <w:ind w:left="640"/>
              <w:spacing w:after="0"/>
              <w:rPr>
                <w:sz w:val="20"/>
                <w:szCs w:val="20"/>
                <w:color w:val="auto"/>
              </w:rPr>
            </w:pPr>
            <w:r>
              <w:rPr>
                <w:rFonts w:ascii="Arial" w:cs="Arial" w:eastAsia="Arial" w:hAnsi="Arial"/>
                <w:sz w:val="17"/>
                <w:szCs w:val="17"/>
                <w:b w:val="1"/>
                <w:bCs w:val="1"/>
                <w:color w:val="auto"/>
              </w:rPr>
              <w:t>Three Months Ended March 31,</w:t>
            </w:r>
          </w:p>
        </w:tc>
        <w:tc>
          <w:tcPr>
            <w:tcW w:w="300" w:type="dxa"/>
            <w:vAlign w:val="bottom"/>
          </w:tcPr>
          <w:p>
            <w:pPr>
              <w:spacing w:after="0"/>
              <w:rPr>
                <w:sz w:val="24"/>
                <w:szCs w:val="24"/>
                <w:color w:val="auto"/>
              </w:rPr>
            </w:pPr>
          </w:p>
        </w:tc>
        <w:tc>
          <w:tcPr>
            <w:tcW w:w="1260" w:type="dxa"/>
            <w:vAlign w:val="bottom"/>
            <w:gridSpan w:val="3"/>
          </w:tcPr>
          <w:p>
            <w:pPr>
              <w:ind w:left="600"/>
              <w:spacing w:after="0"/>
              <w:rPr>
                <w:sz w:val="20"/>
                <w:szCs w:val="20"/>
                <w:color w:val="auto"/>
              </w:rPr>
            </w:pPr>
            <w:r>
              <w:rPr>
                <w:rFonts w:ascii="Arial" w:cs="Arial" w:eastAsia="Arial" w:hAnsi="Arial"/>
                <w:sz w:val="17"/>
                <w:szCs w:val="17"/>
                <w:b w:val="1"/>
                <w:bCs w:val="1"/>
                <w:color w:val="auto"/>
              </w:rPr>
              <w:t>Change</w:t>
            </w:r>
          </w:p>
        </w:tc>
        <w:tc>
          <w:tcPr>
            <w:tcW w:w="800" w:type="dxa"/>
            <w:vAlign w:val="bottom"/>
          </w:tcPr>
          <w:p>
            <w:pPr>
              <w:spacing w:after="0"/>
              <w:rPr>
                <w:sz w:val="24"/>
                <w:szCs w:val="24"/>
                <w:color w:val="auto"/>
              </w:rPr>
            </w:pPr>
          </w:p>
        </w:tc>
      </w:tr>
      <w:tr>
        <w:trPr>
          <w:trHeight w:val="251"/>
        </w:trPr>
        <w:tc>
          <w:tcPr>
            <w:tcW w:w="514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administrative, and other</w:t>
            </w:r>
          </w:p>
        </w:tc>
        <w:tc>
          <w:tcPr>
            <w:tcW w:w="108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8"/>
              </w:rPr>
              <w:t>43,456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52,663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i w:val="1"/>
                <w:iCs w:val="1"/>
                <w:color w:val="auto"/>
              </w:rPr>
              <w:t>14 %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i w:val="1"/>
                <w:iCs w:val="1"/>
                <w:color w:val="auto"/>
              </w:rPr>
              <w:t>51 %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9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General, administrative, and other expenses increased by $9.2 million, or 21%, for the three months ended March 31, 2023, compared to the prior period. The increase was primarily due to an increase of $8.6 million in payroll and personnel-related costs as a result of increased headcount and severance payments under the January 2023 Plan. As a percentage of total revenue, general, administrative, and other expenses increased from 14% to 51%.</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20"/>
                <w:szCs w:val="20"/>
                <w:color w:val="auto"/>
              </w:rPr>
            </w:pPr>
            <w:r>
              <w:rPr>
                <w:rFonts w:ascii="Arial" w:cs="Arial" w:eastAsia="Arial" w:hAnsi="Arial"/>
                <w:sz w:val="17"/>
                <w:szCs w:val="17"/>
                <w:b w:val="1"/>
                <w:bCs w:val="1"/>
                <w:i w:val="1"/>
                <w:iCs w:val="1"/>
                <w:color w:val="auto"/>
              </w:rPr>
              <w:t>Other Income (Expense), Net</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91"/>
        </w:trPr>
        <w:tc>
          <w:tcPr>
            <w:tcW w:w="5300" w:type="dxa"/>
            <w:vAlign w:val="bottom"/>
          </w:tcPr>
          <w:p>
            <w:pPr>
              <w:spacing w:after="0"/>
              <w:rPr>
                <w:sz w:val="24"/>
                <w:szCs w:val="2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620"/>
              <w:spacing w:after="0"/>
              <w:rPr>
                <w:sz w:val="20"/>
                <w:szCs w:val="20"/>
                <w:color w:val="auto"/>
              </w:rPr>
            </w:pPr>
            <w:r>
              <w:rPr>
                <w:rFonts w:ascii="Arial" w:cs="Arial" w:eastAsia="Arial" w:hAnsi="Arial"/>
                <w:sz w:val="17"/>
                <w:szCs w:val="17"/>
                <w:b w:val="1"/>
                <w:bCs w:val="1"/>
                <w:color w:val="auto"/>
              </w:rPr>
              <w:t>Change</w:t>
            </w:r>
          </w:p>
        </w:tc>
        <w:tc>
          <w:tcPr>
            <w:tcW w:w="800" w:type="dxa"/>
            <w:vAlign w:val="bottom"/>
            <w:tcBorders>
              <w:bottom w:val="single" w:sz="8" w:color="auto"/>
            </w:tcBorders>
          </w:tcPr>
          <w:p>
            <w:pPr>
              <w:spacing w:after="0"/>
              <w:rPr>
                <w:sz w:val="24"/>
                <w:szCs w:val="24"/>
                <w:color w:val="auto"/>
              </w:rPr>
            </w:pPr>
          </w:p>
        </w:tc>
      </w:tr>
      <w:tr>
        <w:trPr>
          <w:trHeight w:val="251"/>
        </w:trPr>
        <w:tc>
          <w:tcPr>
            <w:tcW w:w="53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2023</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w:t>
            </w: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2,597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222 %</w:t>
            </w:r>
          </w:p>
        </w:tc>
      </w:tr>
    </w:tbl>
    <w:p>
      <w:pPr>
        <w:spacing w:after="0" w:line="31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In the three months ended March 31, 2023, other income (expense), net increased by $4.7 million, or 222%, compared to the prior period. The increase was primarily due to an increase of $3.7 million in dividend income as yields on sweep investments have increased due to rising interest rates.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Non-GAAP Financial Measures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To supplement our condensed consolidated financial statements prepared and presented in accordance with GAAP, we use the non-GAAP financial measures of Contribution Profit, Contribution Margin, Adjusted EBITDA, Adjusted EBITDA Margin, and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However, non-GAAP financial measures have limitations in their usefulness to investors because they have no standardized meaning prescribed by GAAP and are not prepared under any comprehensive set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address these limitations, we provide a reconciliation of Contribution Profit, Contribution Margin, Adjusted EBITDA, Adjusted EBITDA Margin, and Adjusted Net Income (Loss) and Adjusted Net Income (Loss) Per Share to income (loss) from operations and net income (loss) attributable to Upstart Holdings, Inc. common stockholders,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Profit and Contribution Margin</w:t>
      </w:r>
    </w:p>
    <w:p>
      <w:pPr>
        <w:spacing w:after="0" w:line="23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1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a reconciliation of income (loss) from operations to Contribution Profit and Contribution Margin. We define Operating Margin as our income (loss) from operations divided by revenue from fees, net.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40" w:type="dxa"/>
            <w:vAlign w:val="bottom"/>
          </w:tcPr>
          <w:p>
            <w:pPr>
              <w:spacing w:after="0"/>
              <w:rPr>
                <w:sz w:val="19"/>
                <w:szCs w:val="19"/>
                <w:color w:val="auto"/>
              </w:rPr>
            </w:pPr>
          </w:p>
        </w:tc>
        <w:tc>
          <w:tcPr>
            <w:tcW w:w="3900" w:type="dxa"/>
            <w:vAlign w:val="bottom"/>
            <w:gridSpan w:val="5"/>
          </w:tcPr>
          <w:p>
            <w:pPr>
              <w:jc w:val="right"/>
              <w:ind w:right="674"/>
              <w:spacing w:after="0"/>
              <w:rPr>
                <w:sz w:val="20"/>
                <w:szCs w:val="20"/>
                <w:color w:val="auto"/>
              </w:rPr>
            </w:pPr>
            <w:r>
              <w:rPr>
                <w:rFonts w:ascii="Arial" w:cs="Arial" w:eastAsia="Arial" w:hAnsi="Arial"/>
                <w:sz w:val="17"/>
                <w:szCs w:val="17"/>
                <w:b w:val="1"/>
                <w:bCs w:val="1"/>
                <w:color w:val="auto"/>
              </w:rPr>
              <w:t>Three Months Ended March 31,</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3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7"/>
              </w:rPr>
              <w:t>313,982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117,141</w:t>
            </w:r>
          </w:p>
        </w:tc>
        <w:tc>
          <w:tcPr>
            <w:tcW w:w="0" w:type="dxa"/>
            <w:vAlign w:val="bottom"/>
          </w:tcPr>
          <w:p>
            <w:pPr>
              <w:spacing w:after="0"/>
              <w:rPr>
                <w:sz w:val="1"/>
                <w:szCs w:val="1"/>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14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7"/>
                <w:szCs w:val="17"/>
                <w:color w:val="auto"/>
              </w:rPr>
              <w:t>34,833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4"/>
              <w:spacing w:after="0"/>
              <w:rPr>
                <w:sz w:val="20"/>
                <w:szCs w:val="20"/>
                <w:color w:val="auto"/>
              </w:rPr>
            </w:pPr>
            <w:r>
              <w:rPr>
                <w:rFonts w:ascii="Arial" w:cs="Arial" w:eastAsia="Arial" w:hAnsi="Arial"/>
                <w:sz w:val="17"/>
                <w:szCs w:val="17"/>
                <w:color w:val="auto"/>
              </w:rPr>
              <w:t>(131,835)</w:t>
            </w:r>
          </w:p>
        </w:tc>
        <w:tc>
          <w:tcPr>
            <w:tcW w:w="0" w:type="dxa"/>
            <w:vAlign w:val="bottom"/>
          </w:tcPr>
          <w:p>
            <w:pPr>
              <w:spacing w:after="0"/>
              <w:rPr>
                <w:sz w:val="1"/>
                <w:szCs w:val="1"/>
                <w:color w:val="auto"/>
              </w:rPr>
            </w:pPr>
          </w:p>
        </w:tc>
      </w:tr>
      <w:tr>
        <w:trPr>
          <w:trHeight w:val="220"/>
        </w:trPr>
        <w:tc>
          <w:tcPr>
            <w:tcW w:w="734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Operating Margin</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9"/>
        </w:trPr>
        <w:tc>
          <w:tcPr>
            <w:tcW w:w="7340" w:type="dxa"/>
            <w:vAlign w:val="bottom"/>
          </w:tcPr>
          <w:p>
            <w:pPr>
              <w:ind w:left="20"/>
              <w:spacing w:after="0" w:line="219" w:lineRule="exact"/>
              <w:rPr>
                <w:sz w:val="20"/>
                <w:szCs w:val="20"/>
                <w:color w:val="auto"/>
              </w:rPr>
            </w:pPr>
            <w:r>
              <w:rPr>
                <w:rFonts w:ascii="Arial" w:cs="Arial" w:eastAsia="Arial" w:hAnsi="Arial"/>
                <w:sz w:val="17"/>
                <w:szCs w:val="17"/>
                <w:color w:val="auto"/>
              </w:rPr>
              <w:t>Sales and marketing, net of borrower acquisition costs</w:t>
            </w:r>
            <w:r>
              <w:rPr>
                <w:rFonts w:ascii="Arial" w:cs="Arial" w:eastAsia="Arial" w:hAnsi="Arial"/>
                <w:sz w:val="22"/>
                <w:szCs w:val="22"/>
                <w:color w:val="auto"/>
                <w:vertAlign w:val="superscript"/>
              </w:rPr>
              <w:t>(1)</w:t>
            </w:r>
          </w:p>
        </w:tc>
        <w:tc>
          <w:tcPr>
            <w:tcW w:w="1140" w:type="dxa"/>
            <w:vAlign w:val="bottom"/>
          </w:tcPr>
          <w:p>
            <w:pPr>
              <w:jc w:val="right"/>
              <w:ind w:right="95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14"/>
              <w:spacing w:after="0"/>
              <w:rPr>
                <w:sz w:val="20"/>
                <w:szCs w:val="20"/>
                <w:color w:val="auto"/>
              </w:rPr>
            </w:pPr>
            <w:r>
              <w:rPr>
                <w:rFonts w:ascii="Arial" w:cs="Arial" w:eastAsia="Arial" w:hAnsi="Arial"/>
                <w:sz w:val="17"/>
                <w:szCs w:val="17"/>
                <w:color w:val="auto"/>
              </w:rPr>
              <w:t>9,635</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11,726</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Customer operations, net of borrower verification and servicing costs</w:t>
            </w:r>
            <w:r>
              <w:rPr>
                <w:rFonts w:ascii="Arial" w:cs="Arial" w:eastAsia="Arial" w:hAnsi="Arial"/>
                <w:sz w:val="22"/>
                <w:szCs w:val="22"/>
                <w:color w:val="auto"/>
                <w:vertAlign w:val="superscript"/>
              </w:rPr>
              <w:t>(2)</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6,080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10,784</w:t>
            </w:r>
          </w:p>
        </w:tc>
        <w:tc>
          <w:tcPr>
            <w:tcW w:w="0" w:type="dxa"/>
            <w:vAlign w:val="bottom"/>
          </w:tcPr>
          <w:p>
            <w:pPr>
              <w:spacing w:after="0"/>
              <w:rPr>
                <w:sz w:val="1"/>
                <w:szCs w:val="1"/>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Engineering and product development</w:t>
            </w:r>
          </w:p>
        </w:tc>
        <w:tc>
          <w:tcPr>
            <w:tcW w:w="114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7"/>
                <w:szCs w:val="17"/>
                <w:color w:val="auto"/>
              </w:rPr>
              <w:t>49,991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110,071</w:t>
            </w:r>
          </w:p>
        </w:tc>
        <w:tc>
          <w:tcPr>
            <w:tcW w:w="0" w:type="dxa"/>
            <w:vAlign w:val="bottom"/>
          </w:tcPr>
          <w:p>
            <w:pPr>
              <w:spacing w:after="0"/>
              <w:rPr>
                <w:sz w:val="1"/>
                <w:szCs w:val="1"/>
                <w:color w:val="auto"/>
              </w:rPr>
            </w:pP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administrative, and other</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43,456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52,663</w:t>
            </w:r>
          </w:p>
        </w:tc>
        <w:tc>
          <w:tcPr>
            <w:tcW w:w="0" w:type="dxa"/>
            <w:vAlign w:val="bottom"/>
          </w:tcPr>
          <w:p>
            <w:pPr>
              <w:spacing w:after="0"/>
              <w:rPr>
                <w:sz w:val="1"/>
                <w:szCs w:val="1"/>
                <w:color w:val="auto"/>
              </w:rPr>
            </w:pPr>
          </w:p>
        </w:tc>
      </w:tr>
      <w:tr>
        <w:trPr>
          <w:trHeight w:val="21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income and fair value adjustments, net</w:t>
            </w:r>
          </w:p>
        </w:tc>
        <w:tc>
          <w:tcPr>
            <w:tcW w:w="1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3,846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14,214</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Contribution Profit</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7"/>
              </w:rPr>
              <w:t>147,841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67,623</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7"/>
                <w:szCs w:val="17"/>
                <w:i w:val="1"/>
                <w:iCs w:val="1"/>
                <w:color w:val="auto"/>
              </w:rPr>
              <w:t>Contribution Margin</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jc w:val="right"/>
              <w:spacing w:after="0" w:line="190" w:lineRule="exact"/>
              <w:rPr>
                <w:sz w:val="20"/>
                <w:szCs w:val="20"/>
                <w:color w:val="auto"/>
              </w:rPr>
            </w:pPr>
            <w:r>
              <w:rPr>
                <w:rFonts w:ascii="Arial" w:cs="Arial" w:eastAsia="Arial" w:hAnsi="Arial"/>
                <w:sz w:val="17"/>
                <w:szCs w:val="17"/>
                <w:color w:val="auto"/>
              </w:rPr>
              <w:t>47 %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spacing w:after="0" w:line="190" w:lineRule="exact"/>
              <w:rPr>
                <w:sz w:val="20"/>
                <w:szCs w:val="20"/>
                <w:color w:val="auto"/>
              </w:rPr>
            </w:pPr>
            <w:r>
              <w:rPr>
                <w:rFonts w:ascii="Arial" w:cs="Arial" w:eastAsia="Arial" w:hAnsi="Arial"/>
                <w:sz w:val="17"/>
                <w:szCs w:val="17"/>
                <w:color w:val="auto"/>
              </w:rPr>
              <w:t>58 %</w:t>
            </w:r>
          </w:p>
        </w:tc>
        <w:tc>
          <w:tcPr>
            <w:tcW w:w="0" w:type="dxa"/>
            <w:vAlign w:val="bottom"/>
          </w:tcPr>
          <w:p>
            <w:pPr>
              <w:spacing w:after="0"/>
              <w:rPr>
                <w:sz w:val="1"/>
                <w:szCs w:val="1"/>
                <w:color w:val="auto"/>
              </w:rPr>
            </w:pPr>
          </w:p>
        </w:tc>
      </w:tr>
      <w:tr>
        <w:trPr>
          <w:trHeight w:val="297"/>
        </w:trPr>
        <w:tc>
          <w:tcPr>
            <w:tcW w:w="7340" w:type="dxa"/>
            <w:vAlign w:val="bottom"/>
          </w:tcPr>
          <w:p>
            <w:pPr>
              <w:spacing w:after="0"/>
              <w:rPr>
                <w:sz w:val="20"/>
                <w:szCs w:val="20"/>
                <w:color w:val="auto"/>
              </w:rPr>
            </w:pPr>
            <w:r>
              <w:rPr>
                <w:rFonts w:ascii="Arial" w:cs="Arial" w:eastAsia="Arial" w:hAnsi="Arial"/>
                <w:sz w:val="17"/>
                <w:szCs w:val="17"/>
                <w:color w:val="auto"/>
              </w:rPr>
              <w:t>_________</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2" w:lineRule="exact"/>
        <w:rPr>
          <w:sz w:val="20"/>
          <w:szCs w:val="20"/>
          <w:color w:val="auto"/>
        </w:rPr>
      </w:pPr>
    </w:p>
    <w:p>
      <w:pPr>
        <w:jc w:val="both"/>
        <w:ind w:left="460" w:hanging="457"/>
        <w:spacing w:after="0" w:line="268" w:lineRule="auto"/>
        <w:tabs>
          <w:tab w:leader="none" w:pos="453" w:val="left"/>
        </w:tabs>
        <w:numPr>
          <w:ilvl w:val="0"/>
          <w:numId w:val="19"/>
        </w:numPr>
        <w:rPr>
          <w:rFonts w:ascii="Arial" w:cs="Arial" w:eastAsia="Arial" w:hAnsi="Arial"/>
          <w:sz w:val="13"/>
          <w:szCs w:val="13"/>
          <w:color w:val="auto"/>
        </w:rPr>
      </w:pPr>
      <w:r>
        <w:rPr>
          <w:rFonts w:ascii="Arial" w:cs="Arial" w:eastAsia="Arial" w:hAnsi="Arial"/>
          <w:sz w:val="13"/>
          <w:szCs w:val="13"/>
          <w:color w:val="auto"/>
        </w:rPr>
        <w:t>Borrower acquisition costs were $123.8 million and $19.7 million for the three months ended March 31, 2022 and 2023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associated with the January 2023 Plan.</w:t>
      </w:r>
    </w:p>
    <w:p>
      <w:pPr>
        <w:spacing w:after="0" w:line="1" w:lineRule="exact"/>
        <w:rPr>
          <w:rFonts w:ascii="Arial" w:cs="Arial" w:eastAsia="Arial" w:hAnsi="Arial"/>
          <w:sz w:val="13"/>
          <w:szCs w:val="13"/>
          <w:color w:val="auto"/>
        </w:rPr>
      </w:pPr>
    </w:p>
    <w:p>
      <w:pPr>
        <w:jc w:val="both"/>
        <w:ind w:left="460" w:hanging="457"/>
        <w:spacing w:after="0" w:line="250" w:lineRule="auto"/>
        <w:tabs>
          <w:tab w:leader="none" w:pos="453" w:val="left"/>
        </w:tabs>
        <w:numPr>
          <w:ilvl w:val="0"/>
          <w:numId w:val="19"/>
        </w:numPr>
        <w:rPr>
          <w:rFonts w:ascii="Arial" w:cs="Arial" w:eastAsia="Arial" w:hAnsi="Arial"/>
          <w:sz w:val="14"/>
          <w:szCs w:val="14"/>
          <w:color w:val="auto"/>
        </w:rPr>
      </w:pPr>
      <w:r>
        <w:rPr>
          <w:rFonts w:ascii="Arial" w:cs="Arial" w:eastAsia="Arial" w:hAnsi="Arial"/>
          <w:sz w:val="14"/>
          <w:szCs w:val="14"/>
          <w:color w:val="auto"/>
        </w:rPr>
        <w:t>Borrower verification and servicing costs were $42.3 million and $29.8 million for the three months ended March 31, 2022 and 2023,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 associated with the January 2023 Plan.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We believe that Adjusted EBITDA and Adjusted EBITDA Margin are useful for investors to use in comparing our financial performance with the performance of other companies for the following reasons:</w:t>
      </w:r>
    </w:p>
    <w:p>
      <w:pPr>
        <w:spacing w:after="0" w:line="61" w:lineRule="exact"/>
        <w:rPr>
          <w:sz w:val="20"/>
          <w:szCs w:val="20"/>
          <w:color w:val="auto"/>
        </w:rPr>
      </w:pPr>
    </w:p>
    <w:p>
      <w:pPr>
        <w:jc w:val="both"/>
        <w:ind w:left="940" w:hanging="318"/>
        <w:spacing w:after="0" w:line="250" w:lineRule="auto"/>
        <w:tabs>
          <w:tab w:leader="none" w:pos="9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85" w:lineRule="exact"/>
        <w:rPr>
          <w:rFonts w:ascii="Arial" w:cs="Arial" w:eastAsia="Arial" w:hAnsi="Arial"/>
          <w:sz w:val="17"/>
          <w:szCs w:val="17"/>
          <w:color w:val="auto"/>
        </w:rPr>
      </w:pPr>
    </w:p>
    <w:p>
      <w:pPr>
        <w:jc w:val="both"/>
        <w:ind w:left="940" w:hanging="318"/>
        <w:spacing w:after="0" w:line="250" w:lineRule="auto"/>
        <w:tabs>
          <w:tab w:leader="none" w:pos="9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and Adjusted EBITDA Margin eliminate the impact of certain items such as stock-based compensation expense and certain payroll tax expense, warrant expense, acquisition-related costs, and reorganization expenses that may obscure trends in the underlying performance of our business; and</w:t>
      </w:r>
    </w:p>
    <w:p>
      <w:pPr>
        <w:spacing w:after="0" w:line="85" w:lineRule="exact"/>
        <w:rPr>
          <w:rFonts w:ascii="Arial" w:cs="Arial" w:eastAsia="Arial" w:hAnsi="Arial"/>
          <w:sz w:val="17"/>
          <w:szCs w:val="17"/>
          <w:color w:val="auto"/>
        </w:rPr>
      </w:pPr>
    </w:p>
    <w:p>
      <w:pPr>
        <w:ind w:left="940" w:hanging="318"/>
        <w:spacing w:after="0" w:line="264" w:lineRule="auto"/>
        <w:tabs>
          <w:tab w:leader="none" w:pos="9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18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61" w:lineRule="exact"/>
        <w:rPr>
          <w:sz w:val="20"/>
          <w:szCs w:val="20"/>
          <w:color w:val="auto"/>
        </w:rPr>
      </w:pPr>
    </w:p>
    <w:p>
      <w:pPr>
        <w:ind w:left="940" w:hanging="318"/>
        <w:spacing w:after="0" w:line="349" w:lineRule="auto"/>
        <w:tabs>
          <w:tab w:leader="none" w:pos="936"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1" w:lineRule="exact"/>
        <w:rPr>
          <w:rFonts w:ascii="Arial" w:cs="Arial" w:eastAsia="Arial" w:hAnsi="Arial"/>
          <w:sz w:val="15"/>
          <w:szCs w:val="15"/>
          <w:color w:val="auto"/>
        </w:rPr>
      </w:pPr>
    </w:p>
    <w:p>
      <w:pPr>
        <w:jc w:val="both"/>
        <w:ind w:left="940" w:hanging="318"/>
        <w:spacing w:after="0" w:line="295" w:lineRule="auto"/>
        <w:tabs>
          <w:tab w:leader="none" w:pos="936"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which not correlate to the operation of the business;</w:t>
      </w:r>
    </w:p>
    <w:p>
      <w:pPr>
        <w:spacing w:after="0" w:line="41" w:lineRule="exact"/>
        <w:rPr>
          <w:rFonts w:ascii="Arial" w:cs="Arial" w:eastAsia="Arial" w:hAnsi="Arial"/>
          <w:sz w:val="15"/>
          <w:szCs w:val="15"/>
          <w:color w:val="auto"/>
        </w:rPr>
      </w:pPr>
    </w:p>
    <w:p>
      <w:pPr>
        <w:jc w:val="both"/>
        <w:ind w:left="940" w:hanging="318"/>
        <w:spacing w:after="0" w:line="258"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65" w:lineRule="exact"/>
        <w:rPr>
          <w:rFonts w:ascii="Arial" w:cs="Arial" w:eastAsia="Arial" w:hAnsi="Arial"/>
          <w:sz w:val="17"/>
          <w:szCs w:val="17"/>
          <w:color w:val="auto"/>
        </w:rPr>
      </w:pPr>
    </w:p>
    <w:p>
      <w:pPr>
        <w:jc w:val="both"/>
        <w:ind w:left="940" w:hanging="318"/>
        <w:spacing w:after="0" w:line="258"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195" w:lineRule="exact"/>
        <w:rPr>
          <w:sz w:val="20"/>
          <w:szCs w:val="20"/>
          <w:color w:val="auto"/>
        </w:rPr>
      </w:pPr>
    </w:p>
    <w:p>
      <w:pPr>
        <w:jc w:val="both"/>
        <w:ind w:firstLine="541"/>
        <w:spacing w:after="0" w:line="272"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 The following table provides a reconciliation of net income (loss) attributable to Upstart Holdings, Inc. common stockholders and net income (loss) attributable to Upstart Holdings, Inc. common stockholders margin to Adjusted EBITDA Margin. We define Net Income (Loss) Margin as net income (loss) attributable to Upstart Holdings, Inc. common stockholders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Pr>
          <w:p>
            <w:pPr>
              <w:spacing w:after="0"/>
              <w:rPr>
                <w:sz w:val="19"/>
                <w:szCs w:val="19"/>
                <w:color w:val="auto"/>
              </w:rPr>
            </w:pPr>
          </w:p>
        </w:tc>
        <w:tc>
          <w:tcPr>
            <w:tcW w:w="4080" w:type="dxa"/>
            <w:vAlign w:val="bottom"/>
            <w:gridSpan w:val="5"/>
          </w:tcPr>
          <w:p>
            <w:pPr>
              <w:jc w:val="right"/>
              <w:ind w:right="774"/>
              <w:spacing w:after="0"/>
              <w:rPr>
                <w:sz w:val="20"/>
                <w:szCs w:val="20"/>
                <w:color w:val="auto"/>
              </w:rPr>
            </w:pPr>
            <w:r>
              <w:rPr>
                <w:rFonts w:ascii="Arial" w:cs="Arial" w:eastAsia="Arial" w:hAnsi="Arial"/>
                <w:sz w:val="17"/>
                <w:szCs w:val="17"/>
                <w:b w:val="1"/>
                <w:bCs w:val="1"/>
                <w:color w:val="auto"/>
              </w:rPr>
              <w:t>Three Months Ended March 31,</w:t>
            </w:r>
          </w:p>
        </w:tc>
      </w:tr>
      <w:tr>
        <w:trPr>
          <w:trHeight w:val="27"/>
        </w:trPr>
        <w:tc>
          <w:tcPr>
            <w:tcW w:w="7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2"/>
        </w:trPr>
        <w:tc>
          <w:tcPr>
            <w:tcW w:w="7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2023</w:t>
            </w:r>
          </w:p>
        </w:tc>
      </w:tr>
      <w:tr>
        <w:trPr>
          <w:trHeight w:val="212"/>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1"/>
              </w:rPr>
              <w:t>310,136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102,927</w:t>
            </w:r>
          </w:p>
        </w:tc>
      </w:tr>
      <w:tr>
        <w:trPr>
          <w:trHeight w:val="218"/>
        </w:trPr>
        <w:tc>
          <w:tcPr>
            <w:tcW w:w="71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200" w:type="dxa"/>
            <w:vAlign w:val="bottom"/>
          </w:tcPr>
          <w:p>
            <w:pPr>
              <w:spacing w:after="0"/>
              <w:rPr>
                <w:sz w:val="18"/>
                <w:szCs w:val="18"/>
                <w:color w:val="auto"/>
              </w:rPr>
            </w:pPr>
          </w:p>
        </w:tc>
        <w:tc>
          <w:tcPr>
            <w:tcW w:w="800" w:type="dxa"/>
            <w:vAlign w:val="bottom"/>
          </w:tcPr>
          <w:p>
            <w:pPr>
              <w:jc w:val="right"/>
              <w:ind w:right="134"/>
              <w:spacing w:after="0"/>
              <w:rPr>
                <w:sz w:val="20"/>
                <w:szCs w:val="20"/>
                <w:color w:val="auto"/>
              </w:rPr>
            </w:pPr>
            <w:r>
              <w:rPr>
                <w:rFonts w:ascii="Arial" w:cs="Arial" w:eastAsia="Arial" w:hAnsi="Arial"/>
                <w:sz w:val="17"/>
                <w:szCs w:val="17"/>
                <w:color w:val="auto"/>
              </w:rPr>
              <w:t>32,692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ind w:right="74"/>
              <w:spacing w:after="0"/>
              <w:rPr>
                <w:sz w:val="20"/>
                <w:szCs w:val="20"/>
                <w:color w:val="auto"/>
              </w:rPr>
            </w:pPr>
            <w:r>
              <w:rPr>
                <w:rFonts w:ascii="Arial" w:cs="Arial" w:eastAsia="Arial" w:hAnsi="Arial"/>
                <w:sz w:val="17"/>
                <w:szCs w:val="17"/>
                <w:color w:val="auto"/>
              </w:rPr>
              <w:t>(129,254)</w:t>
            </w:r>
          </w:p>
        </w:tc>
      </w:tr>
      <w:tr>
        <w:trPr>
          <w:trHeight w:val="220"/>
        </w:trPr>
        <w:tc>
          <w:tcPr>
            <w:tcW w:w="716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Net Income (Loss) Margin</w:t>
            </w: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18"/>
        </w:trPr>
        <w:tc>
          <w:tcPr>
            <w:tcW w:w="7160" w:type="dxa"/>
            <w:vAlign w:val="bottom"/>
          </w:tcPr>
          <w:p>
            <w:pPr>
              <w:ind w:left="20"/>
              <w:spacing w:after="0"/>
              <w:rPr>
                <w:sz w:val="20"/>
                <w:szCs w:val="20"/>
                <w:color w:val="auto"/>
              </w:rPr>
            </w:pPr>
            <w:r>
              <w:rPr>
                <w:rFonts w:ascii="Arial" w:cs="Arial" w:eastAsia="Arial" w:hAnsi="Arial"/>
                <w:sz w:val="17"/>
                <w:szCs w:val="17"/>
                <w:color w:val="auto"/>
              </w:rPr>
              <w:t>Adjusted to exclude the following:</w:t>
            </w: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0"/>
        </w:trPr>
        <w:tc>
          <w:tcPr>
            <w:tcW w:w="71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Stock-based compensation and certain payroll tax expenses</w:t>
            </w:r>
            <w:r>
              <w:rPr>
                <w:rFonts w:ascii="Arial" w:cs="Arial" w:eastAsia="Arial" w:hAnsi="Arial"/>
                <w:sz w:val="22"/>
                <w:szCs w:val="22"/>
                <w:color w:val="auto"/>
                <w:vertAlign w:val="superscript"/>
              </w:rPr>
              <w:t>(1)</w:t>
            </w: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25,929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75,026</w:t>
            </w:r>
          </w:p>
        </w:tc>
      </w:tr>
      <w:tr>
        <w:trPr>
          <w:trHeight w:val="218"/>
        </w:trPr>
        <w:tc>
          <w:tcPr>
            <w:tcW w:w="71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spacing w:after="0"/>
              <w:rPr>
                <w:sz w:val="18"/>
                <w:szCs w:val="18"/>
                <w:color w:val="auto"/>
              </w:rPr>
            </w:pPr>
          </w:p>
        </w:tc>
        <w:tc>
          <w:tcPr>
            <w:tcW w:w="800" w:type="dxa"/>
            <w:vAlign w:val="bottom"/>
          </w:tcPr>
          <w:p>
            <w:pPr>
              <w:jc w:val="right"/>
              <w:ind w:right="134"/>
              <w:spacing w:after="0"/>
              <w:rPr>
                <w:sz w:val="20"/>
                <w:szCs w:val="20"/>
                <w:color w:val="auto"/>
              </w:rPr>
            </w:pPr>
            <w:r>
              <w:rPr>
                <w:rFonts w:ascii="Arial" w:cs="Arial" w:eastAsia="Arial" w:hAnsi="Arial"/>
                <w:sz w:val="17"/>
                <w:szCs w:val="17"/>
                <w:color w:val="auto"/>
              </w:rPr>
              <w:t>2,781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ind w:right="114"/>
              <w:spacing w:after="0"/>
              <w:rPr>
                <w:sz w:val="20"/>
                <w:szCs w:val="20"/>
                <w:color w:val="auto"/>
              </w:rPr>
            </w:pPr>
            <w:r>
              <w:rPr>
                <w:rFonts w:ascii="Arial" w:cs="Arial" w:eastAsia="Arial" w:hAnsi="Arial"/>
                <w:sz w:val="17"/>
                <w:szCs w:val="17"/>
                <w:color w:val="auto"/>
              </w:rPr>
              <w:t>6,441</w:t>
            </w:r>
          </w:p>
        </w:tc>
      </w:tr>
      <w:tr>
        <w:trPr>
          <w:trHeight w:val="220"/>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Reorganization expenses</w:t>
            </w:r>
          </w:p>
        </w:tc>
        <w:tc>
          <w:tcPr>
            <w:tcW w:w="1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15,536</w:t>
            </w:r>
          </w:p>
        </w:tc>
      </w:tr>
      <w:tr>
        <w:trPr>
          <w:trHeight w:val="218"/>
        </w:trPr>
        <w:tc>
          <w:tcPr>
            <w:tcW w:w="7160" w:type="dxa"/>
            <w:vAlign w:val="bottom"/>
          </w:tcPr>
          <w:p>
            <w:pPr>
              <w:ind w:left="20"/>
              <w:spacing w:after="0"/>
              <w:rPr>
                <w:sz w:val="20"/>
                <w:szCs w:val="20"/>
                <w:color w:val="auto"/>
              </w:rPr>
            </w:pPr>
            <w:r>
              <w:rPr>
                <w:rFonts w:ascii="Arial" w:cs="Arial" w:eastAsia="Arial" w:hAnsi="Arial"/>
                <w:sz w:val="17"/>
                <w:szCs w:val="17"/>
                <w:color w:val="auto"/>
              </w:rPr>
              <w:t>Expense on convertible notes</w:t>
            </w:r>
          </w:p>
        </w:tc>
        <w:tc>
          <w:tcPr>
            <w:tcW w:w="1200" w:type="dxa"/>
            <w:vAlign w:val="bottom"/>
          </w:tcPr>
          <w:p>
            <w:pPr>
              <w:spacing w:after="0"/>
              <w:rPr>
                <w:sz w:val="18"/>
                <w:szCs w:val="18"/>
                <w:color w:val="auto"/>
              </w:rPr>
            </w:pPr>
          </w:p>
        </w:tc>
        <w:tc>
          <w:tcPr>
            <w:tcW w:w="800" w:type="dxa"/>
            <w:vAlign w:val="bottom"/>
          </w:tcPr>
          <w:p>
            <w:pPr>
              <w:jc w:val="right"/>
              <w:ind w:right="134"/>
              <w:spacing w:after="0"/>
              <w:rPr>
                <w:sz w:val="20"/>
                <w:szCs w:val="20"/>
                <w:color w:val="auto"/>
              </w:rPr>
            </w:pPr>
            <w:r>
              <w:rPr>
                <w:rFonts w:ascii="Arial" w:cs="Arial" w:eastAsia="Arial" w:hAnsi="Arial"/>
                <w:sz w:val="17"/>
                <w:szCs w:val="17"/>
                <w:color w:val="auto"/>
              </w:rPr>
              <w:t>1,169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ind w:right="114"/>
              <w:spacing w:after="0"/>
              <w:rPr>
                <w:sz w:val="20"/>
                <w:szCs w:val="20"/>
                <w:color w:val="auto"/>
              </w:rPr>
            </w:pPr>
            <w:r>
              <w:rPr>
                <w:rFonts w:ascii="Arial" w:cs="Arial" w:eastAsia="Arial" w:hAnsi="Arial"/>
                <w:sz w:val="17"/>
                <w:szCs w:val="17"/>
                <w:color w:val="auto"/>
              </w:rPr>
              <w:t>1,174</w:t>
            </w:r>
          </w:p>
        </w:tc>
      </w:tr>
      <w:tr>
        <w:trPr>
          <w:trHeight w:val="219"/>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16</w:t>
            </w:r>
          </w:p>
        </w:tc>
      </w:tr>
      <w:tr>
        <w:trPr>
          <w:trHeight w:val="213"/>
        </w:trPr>
        <w:tc>
          <w:tcPr>
            <w:tcW w:w="716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1200" w:type="dxa"/>
            <w:vAlign w:val="bottom"/>
            <w:tcBorders>
              <w:bottom w:val="single" w:sz="8" w:color="auto"/>
            </w:tcBorders>
          </w:tcPr>
          <w:p>
            <w:pPr>
              <w:jc w:val="right"/>
              <w:ind w:right="10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62,590</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(31,061)</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1"/>
        </w:trPr>
        <w:tc>
          <w:tcPr>
            <w:tcW w:w="716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Adjusted EBITDA Margin</w:t>
            </w: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36" w:lineRule="auto"/>
        <w:tabs>
          <w:tab w:leader="none" w:pos="453" w:val="left"/>
        </w:tabs>
        <w:numPr>
          <w:ilvl w:val="0"/>
          <w:numId w:val="22"/>
        </w:numPr>
        <w:rPr>
          <w:rFonts w:ascii="Arial" w:cs="Arial" w:eastAsia="Arial" w:hAnsi="Arial"/>
          <w:sz w:val="14"/>
          <w:szCs w:val="14"/>
          <w:color w:val="auto"/>
        </w:rPr>
      </w:pPr>
      <w:r>
        <w:rPr>
          <w:rFonts w:ascii="Arial" w:cs="Arial" w:eastAsia="Arial" w:hAnsi="Arial"/>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(Loss) and Adjusted Net Income (Loss) Per Share</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define Adjusted Net Income (Loss) as net income (loss) attributable to Upstart Holdings, Inc. common stockholders exclusive of stock-based compensation expense and certain payroll tax expense and reorganization expenses. Adjusted Net Income (Loss) Per Share is calculated by dividing Adjusted Net Income (Loss) Per Share by the weighted-average common shares outstanding. We believe Adjusted Net Income (Loss) and Adjusted Net Income (Loss) Per Share are useful measures for investors in evaluating our ability to generate earnings, more readily compare between past and future periods, and provide comparability of our performance with the performance of other companies.</w:t>
      </w: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7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20" w:type="dxa"/>
            <w:vAlign w:val="bottom"/>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 March 31,</w:t>
            </w:r>
          </w:p>
        </w:tc>
      </w:tr>
      <w:tr>
        <w:trPr>
          <w:trHeight w:val="27"/>
        </w:trPr>
        <w:tc>
          <w:tcPr>
            <w:tcW w:w="7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2"/>
        </w:trPr>
        <w:tc>
          <w:tcPr>
            <w:tcW w:w="74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2023</w:t>
            </w: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(129,254)</w:t>
            </w:r>
          </w:p>
        </w:tc>
      </w:tr>
      <w:tr>
        <w:trPr>
          <w:trHeight w:val="218"/>
        </w:trPr>
        <w:tc>
          <w:tcPr>
            <w:tcW w:w="7420" w:type="dxa"/>
            <w:vAlign w:val="bottom"/>
          </w:tcPr>
          <w:p>
            <w:pPr>
              <w:ind w:left="20"/>
              <w:spacing w:after="0"/>
              <w:rPr>
                <w:sz w:val="20"/>
                <w:szCs w:val="20"/>
                <w:color w:val="auto"/>
              </w:rPr>
            </w:pPr>
            <w:r>
              <w:rPr>
                <w:rFonts w:ascii="Arial" w:cs="Arial" w:eastAsia="Arial" w:hAnsi="Arial"/>
                <w:sz w:val="17"/>
                <w:szCs w:val="17"/>
                <w:color w:val="auto"/>
              </w:rPr>
              <w:t>Adjusted to exclude the following:</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0"/>
        </w:trPr>
        <w:tc>
          <w:tcPr>
            <w:tcW w:w="7420" w:type="dxa"/>
            <w:vAlign w:val="bottom"/>
            <w:shd w:val="clear" w:color="auto" w:fill="CCEEFF"/>
          </w:tcPr>
          <w:p>
            <w:pPr>
              <w:ind w:left="240"/>
              <w:spacing w:after="0" w:line="220" w:lineRule="exact"/>
              <w:rPr>
                <w:sz w:val="20"/>
                <w:szCs w:val="20"/>
                <w:color w:val="auto"/>
              </w:rPr>
            </w:pPr>
            <w:r>
              <w:rPr>
                <w:rFonts w:ascii="Arial" w:cs="Arial" w:eastAsia="Arial" w:hAnsi="Arial"/>
                <w:sz w:val="17"/>
                <w:szCs w:val="17"/>
                <w:color w:val="auto"/>
              </w:rPr>
              <w:t>Stock-based compensation and certain payroll tax expenses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75,026</w:t>
            </w:r>
          </w:p>
        </w:tc>
      </w:tr>
      <w:tr>
        <w:trPr>
          <w:trHeight w:val="218"/>
        </w:trPr>
        <w:tc>
          <w:tcPr>
            <w:tcW w:w="7420" w:type="dxa"/>
            <w:vAlign w:val="bottom"/>
          </w:tcPr>
          <w:p>
            <w:pPr>
              <w:ind w:left="240"/>
              <w:spacing w:after="0"/>
              <w:rPr>
                <w:sz w:val="20"/>
                <w:szCs w:val="20"/>
                <w:color w:val="auto"/>
              </w:rPr>
            </w:pPr>
            <w:r>
              <w:rPr>
                <w:rFonts w:ascii="Arial" w:cs="Arial" w:eastAsia="Arial" w:hAnsi="Arial"/>
                <w:sz w:val="17"/>
                <w:szCs w:val="17"/>
                <w:color w:val="auto"/>
              </w:rPr>
              <w:t>Reorganization expenses</w:t>
            </w: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15,536</w:t>
            </w:r>
          </w:p>
        </w:tc>
      </w:tr>
      <w:tr>
        <w:trPr>
          <w:trHeight w:val="21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Net Income (Loss)</w:t>
            </w: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58,621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(38,692)</w:t>
            </w:r>
          </w:p>
        </w:tc>
      </w:tr>
      <w:tr>
        <w:trPr>
          <w:trHeight w:val="198"/>
        </w:trPr>
        <w:tc>
          <w:tcPr>
            <w:tcW w:w="7420" w:type="dxa"/>
            <w:vAlign w:val="bottom"/>
          </w:tcPr>
          <w:p>
            <w:pPr>
              <w:ind w:left="20"/>
              <w:spacing w:after="0"/>
              <w:rPr>
                <w:sz w:val="20"/>
                <w:szCs w:val="20"/>
                <w:color w:val="auto"/>
              </w:rPr>
            </w:pPr>
            <w:r>
              <w:rPr>
                <w:rFonts w:ascii="Arial" w:cs="Arial" w:eastAsia="Arial" w:hAnsi="Arial"/>
                <w:sz w:val="17"/>
                <w:szCs w:val="17"/>
                <w:color w:val="auto"/>
              </w:rPr>
              <w:t>Net income (loss) per share:</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0"/>
        </w:trPr>
        <w:tc>
          <w:tcPr>
            <w:tcW w:w="74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18"/>
        </w:trPr>
        <w:tc>
          <w:tcPr>
            <w:tcW w:w="7420" w:type="dxa"/>
            <w:vAlign w:val="bottom"/>
          </w:tcPr>
          <w:p>
            <w:pPr>
              <w:ind w:left="240"/>
              <w:spacing w:after="0"/>
              <w:rPr>
                <w:sz w:val="20"/>
                <w:szCs w:val="20"/>
                <w:color w:val="auto"/>
              </w:rPr>
            </w:pPr>
            <w:r>
              <w:rPr>
                <w:rFonts w:ascii="Arial" w:cs="Arial" w:eastAsia="Arial" w:hAnsi="Arial"/>
                <w:sz w:val="17"/>
                <w:szCs w:val="17"/>
                <w:color w:val="auto"/>
              </w:rPr>
              <w:t>Diluted</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0.34</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0"/>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(Loss) per Share:</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8"/>
        </w:trPr>
        <w:tc>
          <w:tcPr>
            <w:tcW w:w="7420" w:type="dxa"/>
            <w:vAlign w:val="bottom"/>
          </w:tcPr>
          <w:p>
            <w:pPr>
              <w:ind w:left="240"/>
              <w:spacing w:after="0"/>
              <w:rPr>
                <w:sz w:val="20"/>
                <w:szCs w:val="20"/>
                <w:color w:val="auto"/>
              </w:rPr>
            </w:pPr>
            <w:r>
              <w:rPr>
                <w:rFonts w:ascii="Arial" w:cs="Arial" w:eastAsia="Arial" w:hAnsi="Arial"/>
                <w:sz w:val="17"/>
                <w:szCs w:val="17"/>
                <w:color w:val="auto"/>
              </w:rPr>
              <w:t>Basic</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(0.47)</w:t>
            </w:r>
          </w:p>
        </w:tc>
      </w:tr>
      <w:tr>
        <w:trPr>
          <w:trHeight w:val="220"/>
        </w:trPr>
        <w:tc>
          <w:tcPr>
            <w:tcW w:w="74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w:t>
            </w:r>
          </w:p>
        </w:tc>
      </w:tr>
      <w:tr>
        <w:trPr>
          <w:trHeight w:val="218"/>
        </w:trPr>
        <w:tc>
          <w:tcPr>
            <w:tcW w:w="742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0"/>
        </w:trPr>
        <w:tc>
          <w:tcPr>
            <w:tcW w:w="74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84,230,445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81,911,433</w:t>
            </w:r>
          </w:p>
        </w:tc>
      </w:tr>
      <w:tr>
        <w:trPr>
          <w:trHeight w:val="218"/>
        </w:trPr>
        <w:tc>
          <w:tcPr>
            <w:tcW w:w="7420" w:type="dxa"/>
            <w:vAlign w:val="bottom"/>
          </w:tcPr>
          <w:p>
            <w:pPr>
              <w:ind w:left="240"/>
              <w:spacing w:after="0"/>
              <w:rPr>
                <w:sz w:val="20"/>
                <w:szCs w:val="20"/>
                <w:color w:val="auto"/>
              </w:rPr>
            </w:pPr>
            <w:r>
              <w:rPr>
                <w:rFonts w:ascii="Arial" w:cs="Arial" w:eastAsia="Arial" w:hAnsi="Arial"/>
                <w:sz w:val="17"/>
                <w:szCs w:val="17"/>
                <w:color w:val="auto"/>
              </w:rPr>
              <w:t>Diluted</w:t>
            </w: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95,457,776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81,911,433</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52" w:lineRule="auto"/>
        <w:tabs>
          <w:tab w:leader="none" w:pos="453" w:val="left"/>
        </w:tabs>
        <w:numPr>
          <w:ilvl w:val="0"/>
          <w:numId w:val="23"/>
        </w:numPr>
        <w:rPr>
          <w:rFonts w:ascii="Arial" w:cs="Arial" w:eastAsia="Arial" w:hAnsi="Arial"/>
          <w:sz w:val="14"/>
          <w:szCs w:val="14"/>
          <w:color w:val="auto"/>
        </w:rPr>
      </w:pPr>
      <w:r>
        <w:rPr>
          <w:rFonts w:ascii="Arial" w:cs="Arial" w:eastAsia="Arial" w:hAnsi="Arial"/>
          <w:sz w:val="14"/>
          <w:szCs w:val="14"/>
          <w:color w:val="auto"/>
        </w:rPr>
        <w:t>Payroll tax expenses includes the amount of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and Uses of Cash</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Since inception, we have financed our operations, corporate investments, and capital expenditures primarily through the sale of convertible preferred stock, convertible promissory notes, term loans and draws on our revolving credit facilities, and cash generated from operations.</w:t>
      </w:r>
    </w:p>
    <w:p>
      <w:pPr>
        <w:spacing w:after="0" w:line="19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March 31, 2023, our primary source of liquidity was cash of $386.9 million. We also held $5.0 million of investments in certificates of deposit with maturities greater than three months as of March 31, 2023. Certificates of deposit provide a secondary source of liquidity since they can be converted into cash in a timely manner. Changes in the balance of cash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or the warehouse trusts and corporate cash.</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convertible senior notes have a principal balance of $661.3 million and bear interest at a rate of 0.25% per year, payable semiannually in arrears on February 15 and August 15 of each year. The Notes mature on August 15, 2026 unless earlier converted, redeemed, or repurchased in accordance with their terms. Refer to “</w:t>
      </w:r>
      <w:r>
        <w:rPr>
          <w:rFonts w:ascii="Arial" w:cs="Arial" w:eastAsia="Arial" w:hAnsi="Arial"/>
          <w:sz w:val="17"/>
          <w:szCs w:val="17"/>
          <w:i w:val="1"/>
          <w:iCs w:val="1"/>
          <w:color w:val="auto"/>
        </w:rPr>
        <w:t>Note 8. Borrowings</w:t>
      </w:r>
      <w:r>
        <w:rPr>
          <w:rFonts w:ascii="Arial" w:cs="Arial" w:eastAsia="Arial" w:hAnsi="Arial"/>
          <w:sz w:val="17"/>
          <w:szCs w:val="17"/>
          <w:color w:val="auto"/>
        </w:rPr>
        <w:t>” in Part I, Item 1 of this Quarterly Report on Form 10-Q for further details on our Notes.</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warehouse credit facilities, which mature in 2024, allow us to borrow up to $175.0 million under the ULT Warehouse Credit Facility to purchase unsecured personal loans and up to $200.0 million under the UAWT Warehouse Credit Facility to purchase secured auto loans. As of March 31, 2023, we have drawn an aggregate of $350.2 million on our warehouse credit facilities. Refer to “</w:t>
      </w:r>
      <w:r>
        <w:rPr>
          <w:rFonts w:ascii="Arial" w:cs="Arial" w:eastAsia="Arial" w:hAnsi="Arial"/>
          <w:sz w:val="17"/>
          <w:szCs w:val="17"/>
          <w:i w:val="1"/>
          <w:iCs w:val="1"/>
          <w:color w:val="auto"/>
        </w:rPr>
        <w:t>Note 8. Borrowings</w:t>
      </w:r>
      <w:r>
        <w:rPr>
          <w:rFonts w:ascii="Arial" w:cs="Arial" w:eastAsia="Arial" w:hAnsi="Arial"/>
          <w:sz w:val="17"/>
          <w:szCs w:val="17"/>
          <w:color w:val="auto"/>
        </w:rPr>
        <w:t>” in Part I, Item 1 of this Quarterly Report on Form 10-Q for further details on our warehouse credit facilities.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lease office facilities under operating lease agreements which expire between 2027 and 2032. Our cash requirements related to these lease agreements are $116.6 million, of which $15.7 million is expected to be paid within the next 12 months. Refer to “</w:t>
      </w:r>
      <w:r>
        <w:rPr>
          <w:rFonts w:ascii="Arial" w:cs="Arial" w:eastAsia="Arial" w:hAnsi="Arial"/>
          <w:sz w:val="17"/>
          <w:szCs w:val="17"/>
          <w:i w:val="1"/>
          <w:iCs w:val="1"/>
          <w:color w:val="auto"/>
        </w:rPr>
        <w:t>Note 10. Leases</w:t>
      </w:r>
      <w:r>
        <w:rPr>
          <w:rFonts w:ascii="Arial" w:cs="Arial" w:eastAsia="Arial" w:hAnsi="Arial"/>
          <w:sz w:val="17"/>
          <w:szCs w:val="17"/>
          <w:color w:val="auto"/>
        </w:rPr>
        <w:t>” in Part I, Item 1 of this Quarterly Report on Form 10-Q for further details on our operating lease obligations.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have committed to purchase loans from certain lending partners at the conclusion of the required holding period, which is generally equal to three business days. As of March 31, 2023, the total loan purchase commitment was $15.3 million. See “</w:t>
      </w:r>
      <w:r>
        <w:rPr>
          <w:rFonts w:ascii="Arial" w:cs="Arial" w:eastAsia="Arial" w:hAnsi="Arial"/>
          <w:sz w:val="17"/>
          <w:szCs w:val="17"/>
          <w:i w:val="1"/>
          <w:iCs w:val="1"/>
          <w:color w:val="auto"/>
        </w:rPr>
        <w:t>Note 11. Commitments and Contingencies</w:t>
      </w:r>
      <w:r>
        <w:rPr>
          <w:rFonts w:ascii="Arial" w:cs="Arial" w:eastAsia="Arial" w:hAnsi="Arial"/>
          <w:sz w:val="17"/>
          <w:szCs w:val="17"/>
          <w:color w:val="auto"/>
        </w:rPr>
        <w:t>” in Part I, Item 1 of this Quarterly Report on Form 10-Q for further details on our loan purchase obligations.</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We are actively pursuing committed capital arrangements for our platform. We have signed agreements with investors that include risk and upside sharing for both under and over performance for us and the investor for loans purchased under these arrangements These arrangements sometimes meet the definition of a derivative and their value is classified as an asset or a liability in other assets or other liabilities, respectively, in the condensed consolidated balance sheets. Refer to </w:t>
      </w:r>
      <w:r>
        <w:rPr>
          <w:rFonts w:ascii="Arial" w:cs="Arial" w:eastAsia="Arial" w:hAnsi="Arial"/>
          <w:sz w:val="17"/>
          <w:szCs w:val="17"/>
          <w:i w:val="1"/>
          <w:iCs w:val="1"/>
          <w:color w:val="auto"/>
        </w:rPr>
        <w:t>“Note 4. Derivative Financial Instruments”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15. Subsequent Events”</w:t>
      </w:r>
      <w:r>
        <w:rPr>
          <w:rFonts w:ascii="Arial" w:cs="Arial" w:eastAsia="Arial" w:hAnsi="Arial"/>
          <w:sz w:val="17"/>
          <w:szCs w:val="17"/>
          <w:color w:val="auto"/>
        </w:rPr>
        <w:t xml:space="preserve"> for further details</w:t>
      </w:r>
      <w:r>
        <w:rPr>
          <w:rFonts w:ascii="Arial" w:cs="Arial" w:eastAsia="Arial" w:hAnsi="Arial"/>
          <w:sz w:val="17"/>
          <w:szCs w:val="17"/>
          <w:i w:val="1"/>
          <w:iCs w:val="1"/>
          <w:color w:val="auto"/>
        </w:rPr>
        <w:t>.</w:t>
      </w:r>
    </w:p>
    <w:p>
      <w:pPr>
        <w:spacing w:after="0" w:line="204"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While we believe that our cash on hand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unable to raise additional capital when our cash balances and cash generated by operations are insufficient to satisfy liquidity needs, our results of operations and financial condition would be materially and adversely impacted.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40" w:type="dxa"/>
            <w:vAlign w:val="bottom"/>
          </w:tcPr>
          <w:p>
            <w:pPr>
              <w:spacing w:after="0"/>
              <w:rPr>
                <w:sz w:val="20"/>
                <w:szCs w:val="20"/>
                <w:color w:val="auto"/>
              </w:rPr>
            </w:pPr>
            <w:r>
              <w:rPr>
                <w:rFonts w:ascii="Arial" w:cs="Arial" w:eastAsia="Arial" w:hAnsi="Arial"/>
                <w:sz w:val="17"/>
                <w:szCs w:val="17"/>
                <w:b w:val="1"/>
                <w:bCs w:val="1"/>
                <w:i w:val="1"/>
                <w:iCs w:val="1"/>
                <w:color w:val="auto"/>
              </w:rPr>
              <w:t>Cash Flows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25"/>
        </w:trPr>
        <w:tc>
          <w:tcPr>
            <w:tcW w:w="7540" w:type="dxa"/>
            <w:vAlign w:val="bottom"/>
          </w:tcPr>
          <w:p>
            <w:pPr>
              <w:ind w:left="620"/>
              <w:spacing w:after="0"/>
              <w:rPr>
                <w:sz w:val="20"/>
                <w:szCs w:val="20"/>
                <w:color w:val="auto"/>
              </w:rPr>
            </w:pPr>
            <w:r>
              <w:rPr>
                <w:rFonts w:ascii="Arial" w:cs="Arial" w:eastAsia="Arial" w:hAnsi="Arial"/>
                <w:sz w:val="17"/>
                <w:szCs w:val="17"/>
                <w:color w:val="auto"/>
              </w:rPr>
              <w:t>The following table summarizes our cash flows during the periods indicated:</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8"/>
        </w:trPr>
        <w:tc>
          <w:tcPr>
            <w:tcW w:w="7540" w:type="dxa"/>
            <w:vAlign w:val="bottom"/>
          </w:tcPr>
          <w:p>
            <w:pPr>
              <w:spacing w:after="0"/>
              <w:rPr>
                <w:sz w:val="22"/>
                <w:szCs w:val="22"/>
                <w:color w:val="auto"/>
              </w:rPr>
            </w:pPr>
          </w:p>
        </w:tc>
        <w:tc>
          <w:tcPr>
            <w:tcW w:w="3060" w:type="dxa"/>
            <w:vAlign w:val="bottom"/>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640" w:type="dxa"/>
            <w:vAlign w:val="bottom"/>
          </w:tcPr>
          <w:p>
            <w:pPr>
              <w:spacing w:after="0"/>
              <w:rPr>
                <w:sz w:val="22"/>
                <w:szCs w:val="22"/>
                <w:color w:val="auto"/>
              </w:rPr>
            </w:pPr>
          </w:p>
        </w:tc>
      </w:tr>
      <w:tr>
        <w:trPr>
          <w:trHeight w:val="27"/>
        </w:trPr>
        <w:tc>
          <w:tcPr>
            <w:tcW w:w="7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7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2023</w:t>
            </w:r>
          </w:p>
        </w:tc>
        <w:tc>
          <w:tcPr>
            <w:tcW w:w="640" w:type="dxa"/>
            <w:vAlign w:val="bottom"/>
          </w:tcPr>
          <w:p>
            <w:pPr>
              <w:spacing w:after="0"/>
              <w:rPr>
                <w:sz w:val="19"/>
                <w:szCs w:val="19"/>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(266,795)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(75,727)</w:t>
            </w:r>
          </w:p>
        </w:tc>
      </w:tr>
      <w:tr>
        <w:trPr>
          <w:trHeight w:val="218"/>
        </w:trPr>
        <w:tc>
          <w:tcPr>
            <w:tcW w:w="754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5,177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(25,852)</w:t>
            </w:r>
          </w:p>
        </w:tc>
      </w:tr>
      <w:tr>
        <w:trPr>
          <w:trHeight w:val="220"/>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83,071</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20,971</w:t>
            </w:r>
          </w:p>
        </w:tc>
      </w:tr>
      <w:tr>
        <w:trPr>
          <w:trHeight w:val="211"/>
        </w:trPr>
        <w:tc>
          <w:tcPr>
            <w:tcW w:w="7540" w:type="dxa"/>
            <w:vAlign w:val="bottom"/>
          </w:tcPr>
          <w:p>
            <w:pPr>
              <w:ind w:left="220"/>
              <w:spacing w:after="0"/>
              <w:rPr>
                <w:sz w:val="20"/>
                <w:szCs w:val="20"/>
                <w:color w:val="auto"/>
              </w:rPr>
            </w:pPr>
            <w:r>
              <w:rPr>
                <w:rFonts w:ascii="Arial" w:cs="Arial" w:eastAsia="Arial" w:hAnsi="Arial"/>
                <w:sz w:val="17"/>
                <w:szCs w:val="17"/>
                <w:color w:val="auto"/>
              </w:rPr>
              <w:t>Decrease in cash and restricted cash</w:t>
            </w: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(178,547)</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(80,608)</w:t>
            </w:r>
          </w:p>
        </w:tc>
      </w:tr>
      <w:tr>
        <w:trPr>
          <w:trHeight w:val="20"/>
        </w:trPr>
        <w:tc>
          <w:tcPr>
            <w:tcW w:w="7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Operating Activities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main sources of cash provided by operating activities are our revenue from fees earned under contracts with lending partners and institutional investors and interest income we receive for loans held on our balance sheet.</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main uses of cash in our operating activities include payments to marketing partners, vendor payments, payroll and other personnel-related expenses, payments for facilities, and other general business expenditures.</w:t>
      </w:r>
    </w:p>
    <w:p>
      <w:pPr>
        <w:spacing w:after="0" w:line="19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Net cash used in operating activities was $75.7 million for the three months ended March 31, 2023, which primarily consisted of a decrease of $82.2 million in net operating assets and liabilities, adjustments for non-cash items of $136.7 million, and net loss of $129.3 million. The decrease in net operating assets and liabilities was primarily related to $510.0 million in purchases of loans held-for-sale, $49.7 million decrease in payable to investors, and $19.2 million decrease in accrued expenses and other liabilities, partially offset by $449.3 million in proceeds from the sale of loans classified as held-for-sale and $57.9 million in principal payments received for loans held-for-sale.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Investing Activities</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Net cash used in investing activities was $25.9 million for the three months ended March 31, 2023 as a result of $46.4 million purchases of loans held-for-investment and $4.3 million in capitalized software, partially offset by $24.4 million in principal payments received for loans held-for-investment.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Financing Activities</w:t>
      </w:r>
    </w:p>
    <w:p>
      <w:pPr>
        <w:spacing w:after="0" w:line="23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Net cash provided by financing activities was $21.0 million for the three months ended March 31, 2023 as a result of $60.7 million proceeds from borrowings and $5.7 million in proceeds from issuance of common stock under ESPP, partially offset by $47.0 million in payments on borrowings.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Composition of Retained Loan Portfolio</w:t>
      </w:r>
    </w:p>
    <w:p>
      <w:pPr>
        <w:spacing w:after="0" w:line="243"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As of March 31, 2023, we held $982.2 million of loans on our condensed consolidated balance sheet. $493.1 million of these loans were originated for research and development purposes, primarily in support of our auto lending products and expansion of our unsecured personal loan product to new categories of borrowers. We also held $489.1 million of core personal loans which would otherwise be immediately purchased by institutional investors.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 to the demand from qualified borrowers and our business priorities. We plan to sell retained loans to institutional investors over time in the form of secondary sales or securitizations.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43"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In the ordinary course of business, we engage in activities that are not reflected on our condensed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institutional investor base. If we are the retaining sponsor, we are required by law to retain at least 5% of the credit risk of the securities issued in these securitizations. We provide additional information regarding transactions with unconsolidated VIEs in “</w:t>
      </w:r>
      <w:r>
        <w:rPr>
          <w:rFonts w:ascii="Arial" w:cs="Arial" w:eastAsia="Arial" w:hAnsi="Arial"/>
          <w:sz w:val="15"/>
          <w:szCs w:val="15"/>
          <w:i w:val="1"/>
          <w:iCs w:val="1"/>
          <w:color w:val="auto"/>
        </w:rPr>
        <w:t>Note 3. Variable Interest Entities</w:t>
      </w:r>
      <w:r>
        <w:rPr>
          <w:rFonts w:ascii="Arial" w:cs="Arial" w:eastAsia="Arial" w:hAnsi="Arial"/>
          <w:sz w:val="15"/>
          <w:szCs w:val="15"/>
          <w:color w:val="auto"/>
        </w:rPr>
        <w:t>” in Part I, Item 1 of this Quarterly Report on Form 10-Q.</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critical accounting policies are described in Part II, Item 7, “Critical Accounting Policies and Estimates” in our Annual Report on Form 10-K for the year ended December 31, 2022. There have been no changes to these policies for the three months ended March 31, 2023.</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 Description of Business and Significant Accounting Policies”</w:t>
      </w:r>
      <w:r>
        <w:rPr>
          <w:rFonts w:ascii="Arial" w:cs="Arial" w:eastAsia="Arial" w:hAnsi="Arial"/>
          <w:sz w:val="17"/>
          <w:szCs w:val="17"/>
          <w:color w:val="auto"/>
        </w:rPr>
        <w:t xml:space="preserve"> in Part I, Item 1 of this Quarterly Report on Form 10-Q for recently adopted accounting pronouncements and recently issued accounting pronouncements not yet adopted as of March 31,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current credit facilities and term loans.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Discount Rate Risk</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 rates.</w:t>
      </w:r>
    </w:p>
    <w:p>
      <w:pPr>
        <w:spacing w:after="0" w:line="254"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As of December 31, 2022 and March 31, 2023, we were exposed to market discount rate risk on $1,010.4 million and $982.2 million, respectively, of loans held on our condensed consolidated balance sheets. The fair value of these loans is estimated using a discounted cash flow methodology, where the discount rate represents an estimate of the required rate of return by market participants. The discount rates for loans retained on our balance sheet may change due to changes in expected loan performance or changes in the expected returns of similar financial instruments available in the market. Any gains and losses from discount rate changes are recorded in earnings. A hypothetical 100 basis point and 200 basis point increase in the discount rate would result in a $12.0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$23.7 million decrease, respectively, in the fair value of loans held on our condensed consolidated balance sheet as of December 31, 2022 and a $11.5 million and $22.8 million decrease, respectively, as of March 31, 2023.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230"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Credit risk refers to the risk of loss of the loans on our condensed consolidated balance sheets arising from individual borrower default due to inability or unwillingness to meet their financial obligations. The performance of certain financial instruments, including loans, securitization notes and residual certificates,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17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 As of December 31, 2022 and March 31, 2023, we were exposed to credit risk on $1,010.4 million and $982.2 million, respectively, of loans held on our condensed consolidated balance sheet. These loans bear fixed interest rates and are carried on our condensed consolidated balance sheets at fair value. As of December 31, 2022, a hypothetical 10% and 20% increase in credit risk would result in a $11.9 million and $23.9 million decrease, and as of March 31, 2023, a hypothetical 10% and 20% increase in credit risk would result in a $11.7 million and $23.4 million decrease in the fair value of loans held on our condensed consolidated balance sheets, respectively.</w:t>
      </w:r>
    </w:p>
    <w:p>
      <w:pPr>
        <w:spacing w:after="0" w:line="196"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As of December 31, 2022 and March 31, 2023, we are exposed to credit risk of $532.5 million and $451.9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and restricted cash in reputable institutions.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43"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customer bankruptcies and charge-offs, and decreasing recoveries, all of which could have a material adverse effect on our business. We expect these outcomes would generally invert in an environment of decreasing interest rates.</w:t>
      </w:r>
    </w:p>
    <w:p>
      <w:pPr>
        <w:spacing w:after="0" w:line="17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An increase or decrease in interest rates may also impact our exposure to interest rate risk on our warehouse credit facilities. As of December 31, 2022 and March 31, 2023, we were exposed to interest rate risk on $336.5 million and $350.2 million, respectively, under our warehouse credit facilities, which bear floating interest rates. Changes in interest rates may impact our cost of borrowing. From time to time, we enter into interest rate hedges in connection with our warehouse credit facilities. In February 2023, UAWT entered into a $198.7 million notional amortizing interest rate cap agreement with a strike rate of 3.0% in relation to the $200 million UAWT Warehouse Credit Facility, which uses a 1-month Secured Overnight Financing Rate (“SOFR”) as the underlying variable rate for the interest rate on the borrowings under the facility. This cap provides protection to UAWT against exposure to changes in cash flows to the extent 1-month SOFR exceeds 3.0%. This agreement also ensures that we remain compliant with the warehouse covenants. The interest rate cap has a maturity date of April 2029. Refer to “</w:t>
      </w:r>
      <w:r>
        <w:rPr>
          <w:rFonts w:ascii="Arial" w:cs="Arial" w:eastAsia="Arial" w:hAnsi="Arial"/>
          <w:sz w:val="16"/>
          <w:szCs w:val="16"/>
          <w:i w:val="1"/>
          <w:iCs w:val="1"/>
          <w:color w:val="auto"/>
        </w:rPr>
        <w:t>Note 4. Derivative Financial Instruments”</w:t>
      </w:r>
      <w:r>
        <w:rPr>
          <w:rFonts w:ascii="Arial" w:cs="Arial" w:eastAsia="Arial" w:hAnsi="Arial"/>
          <w:sz w:val="16"/>
          <w:szCs w:val="16"/>
          <w:color w:val="auto"/>
        </w:rPr>
        <w:t xml:space="preserve"> for further details.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inability or failure to manage market risks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Investment Risk</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non-marketable equity securities are subject to a wide variety of market-related risks that could substantially reduce or increase the carrying value of our investments.</w:t>
      </w:r>
    </w:p>
    <w:p>
      <w:pPr>
        <w:spacing w:after="0" w:line="19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income (loss) upon recognition of such adjustments or impairments. As of December 31, 2022 and March 31, 2023, the carrying value of our non-marketable equity securities, which do not have readily determinable fair values, totaled $41.3 million and $41.3 million,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March 31, 2023,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There was no change in our internal control over financial reporting (as defined in Rules 13a-15(d) and 15d-15(d) under the Exchange Act) that occurred during the quarter ended March 31, 2023 that has materially affected, or is reasonably likely to materially affect, our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4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217"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For a description of our material pending legal proceedings, please see “</w:t>
      </w:r>
      <w:r>
        <w:rPr>
          <w:rFonts w:ascii="Arial" w:cs="Arial" w:eastAsia="Arial" w:hAnsi="Arial"/>
          <w:sz w:val="17"/>
          <w:szCs w:val="17"/>
          <w:i w:val="1"/>
          <w:iCs w:val="1"/>
          <w:color w:val="auto"/>
        </w:rPr>
        <w:t>Note 11. Commitments and Contingencies</w:t>
      </w:r>
      <w:r>
        <w:rPr>
          <w:rFonts w:ascii="Arial" w:cs="Arial" w:eastAsia="Arial" w:hAnsi="Arial"/>
          <w:sz w:val="17"/>
          <w:szCs w:val="17"/>
          <w:color w:val="auto"/>
        </w:rPr>
        <w:t>” in Part I, Item 1 of this Quarterly Report on Form 10-Q and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II, Item 1A of this Quarterly Report on Form 10-Q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RISK FACTORS</w:t>
      </w:r>
    </w:p>
    <w:p>
      <w:pPr>
        <w:spacing w:after="0" w:line="22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i w:val="1"/>
          <w:iCs w:val="1"/>
          <w:color w:val="auto"/>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RISK FACTORS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material risks that may affect our business, financial condition or results of operations include, but are not limited to, those relating to the following:</w:t>
      </w:r>
    </w:p>
    <w:p>
      <w:pPr>
        <w:spacing w:after="0" w:line="137" w:lineRule="exact"/>
        <w:rPr>
          <w:sz w:val="20"/>
          <w:szCs w:val="20"/>
          <w:color w:val="auto"/>
        </w:rPr>
      </w:pPr>
    </w:p>
    <w:p>
      <w:pPr>
        <w:ind w:left="620" w:hanging="307"/>
        <w:spacing w:after="0" w:line="27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experienced rapid growth in the past and have a relatively limited operating history, which may result in increased risks, uncertainties, expenses and difficulties, and makes it difficult to evaluate our future prospects.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business has been and may continue to be adversely affected by economic conditions and other factors that we cannot control, including the recent bank failures and resulting disruption in the banking sector.</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are unable to maintain diverse and robust loan funding programs with institutional investors, our growth prospects, business, financial condition and results of operations could be adversely affected.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our existing lending partners cease or limit operations with us or if we are unable to attract and onboard new lending partners, our business, financial condition and results of operations will be adversely affected.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have incurred net losses, and we may not be able to achieve profitability in the future.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revenue growth rate and financial performance in prior periods may not be indicative of future performance.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quarterly results are likely to fluctuate and as a result may adversely affect the trading price of our common stock.</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1"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37"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spacing w:after="0" w:line="61" w:lineRule="exact"/>
        <w:rPr>
          <w:rFonts w:ascii="Arial" w:cs="Arial" w:eastAsia="Arial" w:hAnsi="Arial"/>
          <w:sz w:val="17"/>
          <w:szCs w:val="17"/>
          <w:color w:val="auto"/>
        </w:rPr>
      </w:pPr>
    </w:p>
    <w:p>
      <w:pPr>
        <w:jc w:val="both"/>
        <w:ind w:left="620" w:hanging="307"/>
        <w:spacing w:after="0" w:line="290" w:lineRule="auto"/>
        <w:tabs>
          <w:tab w:leader="none" w:pos="616"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the reduced supply of loan funding capital or require us to seek more costly financing for our marketplace.</w:t>
      </w:r>
    </w:p>
    <w:p>
      <w:pPr>
        <w:spacing w:after="0" w:line="54" w:lineRule="exact"/>
        <w:rPr>
          <w:rFonts w:ascii="Arial" w:cs="Arial" w:eastAsia="Arial" w:hAnsi="Arial"/>
          <w:sz w:val="16"/>
          <w:szCs w:val="16"/>
          <w:color w:val="auto"/>
        </w:rPr>
      </w:pPr>
    </w:p>
    <w:p>
      <w:pPr>
        <w:ind w:left="620" w:hanging="307"/>
        <w:spacing w:after="0"/>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Cross River Bank and one other lending partner account for a substantial portion of the total number of loans facilitated by our platform and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sales and onboarding process of new lending partners could take longer than expected, leading to fluctuations or variability in expected revenues and results of operations.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Substantially all of our revenue is derived from a single loan product, and we are thus particularly susceptible to fluctuations in the unsecured personal loan market. We also do not currently offer a broad suite of products that lending partners may find desirable.</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fail to effectively manage our growth, our business, financial condition and results of operations could be adversely affected.</w:t>
      </w:r>
    </w:p>
    <w:p>
      <w:pPr>
        <w:spacing w:after="0" w:line="113"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37" w:lineRule="exact"/>
        <w:rPr>
          <w:rFonts w:ascii="Arial" w:cs="Arial" w:eastAsia="Arial" w:hAnsi="Arial"/>
          <w:sz w:val="16"/>
          <w:szCs w:val="16"/>
          <w:color w:val="auto"/>
        </w:rPr>
      </w:pPr>
    </w:p>
    <w:p>
      <w:pPr>
        <w:jc w:val="both"/>
        <w:ind w:left="620" w:hanging="307"/>
        <w:spacing w:after="0" w:line="266"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reputation and brand are important to our success, and if we are unable to continue developing our reputation and brand, our ability to retain existing and attract new lending partners, our ability to attract borrowers to our platform, our ability to maintain a diverse funding marketplace and our ability to maintain and improve our relationship with regulators of our industry could be adversely affected.</w:t>
      </w:r>
    </w:p>
    <w:p>
      <w:pPr>
        <w:spacing w:after="0" w:line="71"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fail to achieve the expected cost savings and related benefits from our reduction in workforce initiated in November 2022 and January 2023.</w:t>
      </w:r>
    </w:p>
    <w:p>
      <w:pPr>
        <w:spacing w:after="0" w:line="125" w:lineRule="exact"/>
        <w:rPr>
          <w:rFonts w:ascii="Arial" w:cs="Arial" w:eastAsia="Arial" w:hAnsi="Arial"/>
          <w:sz w:val="16"/>
          <w:szCs w:val="16"/>
          <w:color w:val="auto"/>
        </w:rPr>
      </w:pPr>
    </w:p>
    <w:p>
      <w:pPr>
        <w:ind w:left="620" w:hanging="307"/>
        <w:spacing w:after="0" w:line="312"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experienced rapid growth in the past and have a relatively limited operating history, which may result in increased risks, uncertainties, expenses and difficulties, and makes it difficult to evaluate our future prospects.</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were founded in 2012 and have experienced rapid growth in the past.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01"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improve the effectiveness and predictiveness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 and increase the volume of loans facilitated through our AI lending marketplace;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enter into new and maintain existing lending partnerships;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successfully maintain a diversified loan funding strategy, including lending partnerships, whole loan sales and securitization transactions that enhance loan liquidity for the lending partners that use our marketplace, and long-term committed capital sources;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successfully fund a sufficient quantity of our borrower loan demand with low cost lending partner funding to help keep interest rates offered to borrowers competitive;</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 competitive interest rates offered to borrowers on our platform, while enabling our lending partners and institutional investors to achieve an adequate return over their cost of funds, whether through their own balance sheets or through our loan funding programs;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successfully build our brand and protect our reputation from negative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 the effectiveness of our marketing strategies, including our direct consumer marketing initiatives;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continue to expand the number of potential borrowers;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successfully adjust our proprietary AI models, products and services in a timely manner in response to changing macroeconomic conditions and fluctuations in the credit market;</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comply with and successfully adapt to complex and evolving regulatory environments;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protect against increasingly sophisticated fraudulent borrowing and online theft;</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successfully compete with companies that are currently in, or may in the future enter, the business of providing online lending services to financial institutions or consumer financial services to borrowers;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enter into new markets and introduce new products and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effectively secure and maintain the confidentiality of the information received, accessed, stored, provided and used across our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successfully obtain and maintain corporate funding and liquidity to support growth and for general corporate purposes;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realize the anticipated benefits of our acquisitions of or investments in complementary businesses and technologies;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attract, integrate and retain qualified employees;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successfully implement the reductions in workforce and achieve the anticipated cost reductions;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effectively manage and expand the capabilities of our operations teams, outsourcing relationships and other business operations.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If we are not able to timely and effectively address these risks and difficulties as well as those described elsewhere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our business and results of operations may be harmed.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has been and may continue to be adversely affected by economic conditions and other factors that we cannot control.</w:t>
      </w:r>
    </w:p>
    <w:p>
      <w:pPr>
        <w:spacing w:after="0" w:line="24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Uncertainty and negative trends in general economic conditions, including significant tightening of credit markets and periods of rising and/or high interest rates, historically have created a difficult operating environment for our industry. Many factors, including factors that are beyond our control, may impact our business, financial condition and results of operations by affecting the supply of capital by our lending partners and institutional investors to fund loans or the demand by borrowers to incur loan obligations or their ability or willingness to repay their loans. These factors include, but are not limited to, interest rates, inflation, unemployment levels, personal savings rates, the 2023 bank failures and resulting disruption in the banking sector, lower consumer confidence, reduced consumer discretionary spending, conditions in the housing market, immigration policies, gas prices, energy costs, government shutdowns, trade wars and delays in tax refunds, as well as events such as natural disasters, acts of war (including the recent Russia-Ukraine conflict), terrorism, catastrophes and pandemics.</w:t>
      </w:r>
    </w:p>
    <w:p>
      <w:pPr>
        <w:spacing w:after="0" w:line="18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United States has recently experienced historically high levels of inflation. According to the U.S. Department of Labor, the annual inflation rate for the United States was approximately 5% for March 2023. In response to high levels of inflation and recession fears, the U.S. Federal Reserve has raised, and may continue to raise, interest rates and implement fiscal policy interventions. Even if these interventions lower inflation, they may also reduce economic growth rates, create a recession, increase unemployment rates, contribute to bank failures and further disrupt the banking sector. Continuing economic uncertainty and the magnitude and duration of the resulting fluctuations in business activity cannot currently be estimated and has had several effects on our business and results of operations, including, among other things:</w:t>
      </w:r>
    </w:p>
    <w:p>
      <w:pPr>
        <w:spacing w:after="0" w:line="209"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reduction in the availability of loan funding and liquidity from institutional investors and the capital markets;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lower acceptance rates from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reductions in workforce;</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decreases in origination volumes on our platform;</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increases in the use of our balance sheet to fund Upstart-powered loans;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delays in the adoption of our AI platform by new lending partners;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potential for increased delinquencies and default rates for new and existing Upstart-powered loans.</w:t>
      </w:r>
    </w:p>
    <w:p>
      <w:pPr>
        <w:spacing w:after="0" w:line="23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During periods of economic slowdown or recession, our current and potential institutional investors in our loan funding programs have reduced and may continue to reduce the number of loans or interest in loans they purchase or demand terms that are less favorable to us to compensate for any increased risks. For example, increasing interest rates caused, and may in the future cause, our lending partners and institutional investors in our loan funding programs to limit the amount of funding they wanted to provide on our platform for loans to borrowers, which reduced the volume of Upstart-powered loans we completed and therefore negatively impacted our revenue. In response to this constrained loan funding, we have increased, and may continue to increase, the use of our balance sheet to fund loans originated through our platform. This increase in the use of our balance sheet has diverted capital resources, increased our exposure to the changes in the fair value of such loans, and could result in losses if such loans held on our balance sheet default or we sell those loans at a loss. A further reduction in the volume of the loans and loan financing products we sell would negatively impact our ability to maintain or increase the number of loans facilitated through our marketplace.</w:t>
      </w:r>
    </w:p>
    <w:p>
      <w:pPr>
        <w:spacing w:after="0" w:line="212"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Furthermore, many new consumers on the Upstart platform have poor, limited or no credit history. Accordingly, such borrowers have historically been, and may in the future be, disproportionately affected by adverse macroeconomic conditions, such as the disruption and uncertainty caused by the COVID-19 pandemic or a recession. For example, nearly all personal loans presently facilitated through our platform are issued with fixed interest rates. As interest rates rise, potential borrowers could seek to defer loans as they wait for interest rates to stabilize. As a result of these circumstances, borrowers may be discouraged from engaging with our platform and as a result, reduce the volume of Upstart-powered loans. Additionally, increased interest rates may adversely impact the spending levels of individual borrowers and their ability and willingness to borrow money. Higher interest rates often lead to higher payment obligations, which may reduce the ability of individual borrowers to remain current on their obligations and therefore, lead to increased delinquencies, defaults, customer bankruptcies and charge-offs, and decreasing recoveries, all of which could have a material adverse effect on our business. In addition, major medical expenses, unemployment, divorce, death or other issues that affect borrowers could affect a borrower’s willingness or ability to make payments on their loans. Recently, default rates on loans facilitated through our marketplace have increased. Increases in default rates increase our costs to service these loans without a corresponding increase in our servicing fees or other related fees. In addition, if we experience higher than expected default rates on loans held on our balance sheet, the value of those loans may decline. Higher default rates by borrowers may lead to lower demand by our lending partners and institutional investors to fund loans facilitated through our marketplace, which would adversely affect our business, financial condition and results of operations. Any sustained decline in demand for loans or loan financing products, or any increase in delinquencies, defaults or foreclosures that result from economic downturns, may harm our ability to maintain robust loan funding programs, which would adversely affect our business, financial condition and results of operations.</w:t>
      </w:r>
    </w:p>
    <w:p>
      <w:pPr>
        <w:spacing w:after="0" w:line="1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continue to monitor the ongoing economic conditions to assess possible implications to our business and to take appropriate actions in an effort to mitigate the adverse consequences of uncertainty or negative trends. However, there can be no assurances that initiatives we undertake will be sufficient or successful. If there is an economic downturn that affects our current and prospective borrowers or our lending partners and institutional investors, or if we are unable to address and mitigate the risks associated with any of the foregoing, our business, financial condition and results of operations could be adversely affected.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maintain diverse and robust loan funding programs with institutional investors, our growth prospects, business, financial condition and results of operations could be adversely affected.</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business depends on sourcing and maintaining diverse and robust loan funding programs to fund Upstart-powered loans that are not retained by our lending partners. In the three months ended March 31, 2023, 44% of the loans funded through our platform were retained by our lending partners, and 44% of loans were purchased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institutional investors through our loan funding programs. Our loan funding programs include whole loan sales and pass-through certificate issuances to institutional investors, asset-backed securitization transactions, and utilization of warehouse credit facilities. While our loan funding programs are diverse, only a limited portion of such funding sources are committed. We have recently experienced reductions in capital from certain funding sources due to concerns about the current macroeconomic environment, including rapidly rising interest rates, recessionary concerns and 2023 bank failures and resulting disruption in the banking sector, which has resulted in, and could continue to result in, declines in Transaction Volume, Number of Loans and revenue. We cannot be sure that these funding sources will continue to be available on reasonable terms or at all beyond the current maturity dates of our debt financing arrangements. While we are seeking to further diversify our funding sources to include long-term capital, we do not know when these types of funding sources will become available. And when they become available to us, they may be on terms that are more costly or have less favorable terms than our existing funding sources. For example, we have agreed to compensate, subject to a limit, investors who have entered into long-term capital arrangements with us if credit losses on loans subject to these arrangements deviate from expectations. These types of terms that may be part of these long-term capital arrangements could negatively impact our financial results. Furthermore, when interest rates are high and such arrangements remain through a full economic cycle, these funding sources may become more costly during periods with lower interest rates.</w:t>
      </w:r>
    </w:p>
    <w:p>
      <w:pPr>
        <w:spacing w:after="0" w:line="20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Further, events of default or breaches of financial, performance or other covenants, or worse than expected performance of certain pools of loans underpinning our pass-through certificate transactions, asset-backed securitizations or other debt facilities, could limit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capital markets and interest rate volatility, economic conditions and regulatory reforms. For example, our revenue has been negatively impacted by reduced loan funding due to recent concerns about the macroeconomic environment, including rapidly rising interest rates, risk of increased loan default rates and recessionary concerns, among institutional investors. In the event of another sudden or unexpected shortage or limits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1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addition, we have utilized, and expect to continue utilizing, our balance sheet to support funding of loans that would otherwise be held by institutional investors. The increase in the percentage of loans held on our balance sheet has diverted capital resources, increased our exposure to the changes in the fair value of such loans and could result in losses if such loans held on our balance sheet default. Increases in the percentage of loans held on our balance sheet could further have these impacts and could adversely affect our business, financial condition and results of operations.</w:t>
      </w:r>
    </w:p>
    <w:p>
      <w:pPr>
        <w:spacing w:after="0" w:line="183"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color w:val="auto"/>
        </w:rPr>
        <w:t>If our existing lending partners cease or limit operations with us or if we are unable to attract and onboard new lending partners, our business, financial condition and results of operations will be adversely affected.</w:t>
      </w:r>
    </w:p>
    <w:p>
      <w:pPr>
        <w:spacing w:after="0" w:line="1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Our success depends in significant part on the participation of our lending partners in our marketplace. In the three months ended March 31, 2023, 114% of our total revenue was generated from platform, referral and servicing fees that we receive from our lending partners. Our lending partners may suspend, limit or cease their participation in our marketplace for a number of reasons. For example, several of our lending partners have recently paused or reduced loan origination in order to limit their exposure to consumer loans in the current macroeconomic environment. In addition, the recent bank failures in 2023 and resulting disruption in the banking sector may limit our ability to attract new lending partners and may cause existing lending partners to reduce loan originations on our platform. If our lending partners continue to suspend, limit or cease their operations or otherwise terminate their relationships with us, the number of loans facilitated through our platform will decrease and our revenue will be adversely affected. Moreover, our sales and onboarding process with new lending partners can be long and unpredictable. If we are unable to timely onboard our lending partners, or if our lending partners are not willing to work with us to complete a timely onboarding process,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We have entered into separate agreements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In June 2022, the Consumer Financial Protection Bureau, or CFPB, Deputy Director indicated that relationships between banks and nonbank lenders, such as our lending partnerships, will be an area of increased regulatory focus for the agency in the near future. Previously, we received a no-action letter regarding the use of our Al model to underwrite and price unsecured closed-end loans. Our no-action letter was terminated upon our request in June 2022 to prevent delays from seeking regulatory approval of updates to our AI models. As a result, we can provide no assurance that the CFPB or any other federal or state regulator will not take supervisory or enforcement action against us in the future. The Office of the Comptroller of the Currency, or OCC, the prudential regulator for national banks operating in the United States, recently announced that it will be prioritizing the review of third-party relationships between banks and financial technology companies like us as part of the agency’s bank supervisory priorities for the upcoming calendar year. The threat of increased scrutiny from the CFPB, the OCC and other regulators of our lending partners has caused and could continue to cause some of our lending partners to pause, limit or cease their participation in our lending marketplace or to not renew their agreements with us. If additional lending partners stop working with us, suspend, limit or cease their operations or otherwise terminate their relationship with us, the number of loans facilitated through our platform will decrease and our revenue will be adversely affected. Moreover, we could in the future have disagreements or disputes with any of our lending partners, which could negatively impact or threaten our relationship with them. In our agreements with lending partners, we make certain representations and warranties and covenants concerning our compliance with specific policies of a lending partner, our compliance with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In addition, our lending partners may retain loans for their own customer base and balance sheet. In general, lending partners can fund loans at lower rates due to the lower cost of funds available to them from their deposit base than is otherwise available in the broader institutional investment markets. Accordingly, loans retained by the lending partners generally carry lower interest rates for borrowers, which leads to better conversion rates and faster growth for our platform. Separately, as our number of lending partners grows, such lending partners will increasingly source new prospective borrowers from their own existing customer base and provide an incremental channel to attract borrowers. If we are unable to attract new lending partners or if we are unable to maintain or expand the number of loans held on their balance sheets, our financial performance would suffer.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incurred net losses, and we may not be able to achieve profitability in the future.</w:t>
      </w:r>
    </w:p>
    <w:p>
      <w:pPr>
        <w:spacing w:after="0" w:line="24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For the three months ended March 31, 2023, we incurred a net loss of $129.3 million. We intend to continue to expend significant funds to continue to develop and improve our proprietary AI models, spend on marketing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expect to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being profitable. If we are unable to successfully address these risks and challenges as we encounter them, our business, financial condition and results of operations could be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revenue growth rate and financial performance in prior periods may not be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grew rapidly in the past, and our historical revenue growth rate and financial performance may not be indicative of our future performance. Our revenue for any previous quarterly or annual periods should not be relied upon as any indication of our revenue or revenue growth in future periods. In fact, our revenue declined during the three months ended March 31, 2023. Our revenue may continue to decline in future periods for a number of reasons, which may include: adverse macroeconomic conditions, changing interest rates, slowing demand for or reduced funding through our lending marketplace offerings and services, sales of loans held on our balance sheet at a loss, increasing competition, credit market volatility, increasing regulatory costs and challenges and our failure to capitalize on growth opportunities.</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believe our growth in the past has been driven in large part by our AI models and our continued improvements to our AI models. Future incremental improvements to our AI models may not lead to the same level of growth as in past periods.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such as auto loans, may cause fluctuations of such percentage from period to period depending on the loan offering mix. As a result of these factors, our revenue growth rates may further decline, and our financial performance may continue to be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quarterly results are likely to fluctuate and as a result may adversely affect the trading price of our common stock.</w:t>
      </w:r>
    </w:p>
    <w:p>
      <w:pPr>
        <w:spacing w:after="0" w:line="24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Our quarterly results of operations, including the levels of our revenue, net income (loss) attributable to Upstart Holdings, Inc. common stockholders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spacing w:after="0" w:line="46" w:lineRule="exact"/>
        <w:rPr>
          <w:sz w:val="20"/>
          <w:szCs w:val="20"/>
          <w:color w:val="auto"/>
        </w:rPr>
      </w:pPr>
    </w:p>
    <w:p>
      <w:pPr>
        <w:ind w:left="620" w:hanging="307"/>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general economic conditions, including economic slowdowns, recessions, interest rate changes, inflation, tightening of credit markets, 2023 bank failures and resulting disruption in the banking sector;</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cost of borrowing money and access to loan funding sources;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improve the effectiveness and predictiveness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attract new lending partners and institutional investors of our loan funding programs;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maintain relationships with existing lending partners and institutional investors of our loan funding programs;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maintain or increase loan volumes, and improve loan mix and the channels through which the loans, lending partners and loan funding are sourced;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maintain effective relationships with loan aggregators from which prospective borrowers access our website;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improvements to our AI models that negatively impact transaction volume, such as lower approval rates;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identify and prevent fraudulent activity and the impact of fraud prevention measures;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the fair value of assets and liabilities on our balance sheet;</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timing and success of new products and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effectiveness of our direct marketing and other marketing channels;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maintaining and expanding our business, operations and infrastructure, including acquiring new and maintaining existing lending partners and institutional investors and attracting borrowers to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number and extent of loans facilitated on our platform that are subject to loan modifications and/or temporary assistance due to disasters or emergencies;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number and extent of prepayments of loans facilitated on our platform;</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 or incidents;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involvement in litigation or regulatory enforcement efforts (or the threat thereof) or those that impact our industry generally;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length of the onboarding process related to acquisitions of new lending partners;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 and</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 or the development of competitive products by larger well-funded incumbents.</w:t>
      </w:r>
    </w:p>
    <w:p>
      <w:pPr>
        <w:spacing w:after="0" w:line="19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recent government stimulus programs provided to individuals in response to the COVID-19 pandemic have obscured this seasonality in our overall financial results, we expect our results of operations to continue to be affected by such seasonality in the future because the COVID-19 government stimulus programs have ended. Such seasonality and other fluctuations in our quarterly results may also adversely affect and, increase the volatility of, the trading price of our common stock.</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83"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Our ability to attract potential borrowers to our platform and increase the number of Upstart-powered loans depend in large part on our ability to effectively evaluate a borrower’s creditworthiness and likelihood of default and, based on that evaluation, offer competitively priced loans and higher approval rates. Our overall operating efficiency and margins further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lending partners and institutional investors to our lending marketplace, increase the number of Upstart-powered loans or maintain or increase the average size of loans facilitated on our platform.</w:t>
      </w:r>
    </w:p>
    <w:p>
      <w:pPr>
        <w:spacing w:after="0" w:line="186"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Additionally, errors or inaccuracies in our AI models could result in any person exposed to the credit risk of Upstart-powered loans, whether it be us, our lending partners or institutional investors in our loan funding programs, experiencing higher than expected losses or lower than desired returns, which could impair our ability to retain existing or attract new lending partners and institutional investors to participate in our loan funding programs, reduce the number, or limit the types, of loans lending partners and institutional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196"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Continuing to improve the accuracy of our AI models is central to our business strategy. However, such improvements could negatively impact transaction volume, such as by lowering approval rates. For example, in the third quarter of 2021, we made changes to our AI models in response to an increase in fraudulent activity on our platform. These changes, while effective at preventing fraudulent loans from being transacted, have resulted, and may in the future result in, a decrease in our Conversion Rate. While we believe that continuing to improve the accuracy of our AI models is key to our long-term success, those improvements could, from time to time, lead us to reevaluate the risks associated with certain borrowers, which could in turn result in lower approval rates or higher interest rates for any borrowers identified as a higher risk, either of which could negatively impact our growth and results of operations in the short term.</w:t>
      </w:r>
    </w:p>
    <w:p>
      <w:pPr>
        <w:spacing w:after="0" w:line="174"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16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The performance of loans facilitated by our platform is significantly dependent on the effectiveness of our proprietary AI models used to evaluate a borrower’s credit profile and likelihood of default. While our AI models are continually adjusted to account for certain macroeconomic conditions, the bulk of the data gathered and the development of our AI models have largely occurred during a period of sustained economic growth or during the COVID-19 pandemic when extraordinary government stimulus impacted the economy. Our AI models have not been extensively tested during other adverse economic cycles. There is no assurance that our AI models can accurately predict loan performance during periods of adverse economic conditions. If our AI models are unable to accurately reflect the credit risk of loans under such economic conditions, our lending partners, institutional investors in our loan funding programs and we may experience greater than expected losses on such loans, which would harm our reputation and erode the trust we have built with our lending partners and institutional investors in our loan funding programs. For example, in response to the COVID-19 pandemic, the federal government quickly implemented stimulus measures. The subsequent discontinuation of those stimulus measures has increased, and may continue to increase, the delinquency and default rates of borrowers of Upstart-powered loans, which has increased uncertainty about the effectiveness of our AI models among lending partners, institutional investors and others. In addition, we consider credit performance to be one of the most important measures of the effectiveness of our AI models and focus on credit performance compared to the expectations of our lending partners or institutional investors at the time of origination. For loans purchased by institutional investors, our 2021 through mid-2022 vintages have underperformed relative to target returns. Moreover, the fair value of the loans on our balance sheet has declined in the quarter ended March 31, 2023 and may decline in future down-cycle economic conditions. Any of these factors could adversely affect our business, financial condition and results of operations.</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jc w:val="both"/>
        <w:ind w:firstLine="619"/>
        <w:spacing w:after="0" w:line="257" w:lineRule="auto"/>
        <w:rPr>
          <w:sz w:val="20"/>
          <w:szCs w:val="20"/>
          <w:color w:val="auto"/>
        </w:rPr>
      </w:pPr>
      <w:r>
        <w:rPr>
          <w:rFonts w:ascii="Arial" w:cs="Arial" w:eastAsia="Arial" w:hAnsi="Arial"/>
          <w:sz w:val="17"/>
          <w:szCs w:val="17"/>
          <w:color w:val="auto"/>
        </w:rPr>
        <w:t>UMI is our effort to quantify the level of macroeconomic risks in terms of the losses or defaults within Upstart-powered loan portfolios. UMI is at an early stage of its development and does not have a long history or track record. Since it is a new initiative, UMI remains unproven and, therefore, may not perform as expected. We intend to continue our research and development efforts to improve UMI, and we expect that such efforts could result in changes or revisions to current or past UMI values. Any significant changes or revisions could harm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reputation and credibility with our lending partners and institutional investors, which in turn could adversely affect our business, financial condition and results of operations.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Furthermore, the correlation between UMI and the level of macroeconomic risks in terms of losses or defaults within Upstart-powered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This outcome could adversely affect our reputation and credibility with our lending partners and institutional investors and thus, negatively impact our business, financial condition and results of operations.</w:t>
      </w:r>
    </w:p>
    <w:p>
      <w:pPr>
        <w:spacing w:after="0" w:line="194"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UMI is based on our analysis of the losses within Upstart-powered loan portfolios and is specific to our borrower base. UMI is not intended to measure the macroeconomic risks in terms of losses of loan portfolios or asset classes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 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Upstart-powered loans that our lending partners and institutional investors are willing to fund. Any failure to manage the foregoing risks could adversely affect our ability to maintain a diverse and robust loan funding program, which in turn would negatively impact our business, financial condition and results of operations.</w:t>
      </w:r>
    </w:p>
    <w:p>
      <w:pPr>
        <w:spacing w:after="0" w:line="192"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color w:val="auto"/>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the reduced supply of loan funding capital or require us to seek more costly financing for our marketplace.</w:t>
      </w:r>
    </w:p>
    <w:p>
      <w:pPr>
        <w:spacing w:after="0" w:line="16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have facilitated securitizations, and may in the future facilitate additional securitizations, of certain Upstart-powered loans to allow certain of our lending partners, whole loan purchasers, pass-through certificate buyers and ourselves to liquidate such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and/or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pass-through certificates buyers and certain lending partners who contribute loans to the transactions receive cash and/or securities representing debt and/or equity interests in such SPE, which are the proceeds from the sale of the securities. The equity interests in the SPEs are residual interests in that they entitle the equity owners of such SPEs, including us if we are an equity owner in the relevant transaction, to a certain proportion of the residual cash flows, if any, from the loans and to any assets remaining in such SPEs. As a result of challenging credit and liquidity conditions, the value of the subordinated securities we or other transaction participants retain in such SPEs might be reduced or, in some cases, eliminated.</w:t>
      </w:r>
    </w:p>
    <w:p>
      <w:pPr>
        <w:spacing w:after="0" w:line="20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periods of financial disruption and economic uncertainty, such as the financial crisis that began in 2008, the beginning of the COVID-19 pandemic in the spring of 2020, periods of significant market volatility driven by rapidly rising interest, inflation rates and recessionary concerns in 2022 and the bank failures in 2023 and resulting disruption of the banking sector, the securitization market has been constrained, and this could continue or occur again in the future. In addition, other matters, such as (i) accounting standards applicable to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transactions and (ii) capital and leverage requirements applicable to banks and other regulated financial institutions holding asset-backed securities, could result in decreased institutional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may be materially adversely affected.</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gain on sale and related servicing fees generated by our whole loan sales, and the servicing fees based on sales of asset-backed securities, also represent a material portion of our earnings. We cannot assure you that our loan purchasers will continue to purchase loans or securities (either through whole loan sales or asset-backed securities) or that they will continue to purchase loans in transactions that generate the same spreads and/or fees that we have historically obtained. During the three months ended March 31, 2023, we sold loans that had been originated in an earlier, lower interest rate environment. We recognized losses on these sales which reduced our revenue. As we hold more loans on our balance sheet, or hold these loans for longer periods and interest rates rise, our business, financial condition and results of operation could be adversely affected, including further reductions in revenue. Factors that may affect loan purchaser demand for loans include:</w:t>
      </w:r>
    </w:p>
    <w:p>
      <w:pPr>
        <w:spacing w:after="0" w:line="82" w:lineRule="exact"/>
        <w:rPr>
          <w:sz w:val="20"/>
          <w:szCs w:val="20"/>
          <w:color w:val="auto"/>
        </w:rPr>
      </w:pPr>
    </w:p>
    <w:p>
      <w:pPr>
        <w:jc w:val="both"/>
        <w:ind w:left="620" w:hanging="307"/>
        <w:spacing w:after="0" w:line="266"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competition in the whole loan sales markets where we compete with loan originators who can sell either larger loan portfolios or loans that have characteristics, pricing and terms that may be perceived to be more desirable to certain loan purchasers or institutional investors than those offered in Upstart-powered loans that comprise our whole loan sales;</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spacing w:after="0" w:line="74"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extent to which servicing fees and other expenses may reduce overall net return on purchased pools of loans;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actual or perceived credit performance and loan grade and term mix of the portfolios of loans offered for sale;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loan purchasers’ sector and company investment diversification requirements and strategies;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higher yielding investment opportunities at a risk profile deemed similar to our sold loan portfolios;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borrower prepayment behavior within the underlying pools;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regulatory or investment practices related to maintaining net asset value, mark-to-market and similar metrics surrounding pools of purchased loans; and</w:t>
      </w:r>
    </w:p>
    <w:p>
      <w:pPr>
        <w:spacing w:after="0" w:line="136" w:lineRule="exact"/>
        <w:rPr>
          <w:rFonts w:ascii="Arial" w:cs="Arial" w:eastAsia="Arial" w:hAnsi="Arial"/>
          <w:sz w:val="15"/>
          <w:szCs w:val="15"/>
          <w:color w:val="auto"/>
        </w:rPr>
      </w:pPr>
    </w:p>
    <w:p>
      <w:pPr>
        <w:jc w:val="both"/>
        <w:ind w:left="620" w:hanging="307"/>
        <w:spacing w:after="0" w:line="266"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of our loan purchasers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Potential institutional investors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increased, institutional loan investors reduced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prices they were willing to pay to purchase certain loans we held which had been originated during an earlier, lower interest rate environment,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Cross River Bank and one other lending partner account for a substantial portion of the total number of loans facilitated by our platform and our revenue.</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Cross River Bank, or CRB, a New Jersey-chartered community bank, originates a majority of the loans on our platform. In the three months ended March 31, 2022 and 2023, CRB originated 52% and 42%, respectively, of the Transaction Volume, Number of Loans. CRB also accounts for a large portion of our revenues. In the three months ended March 31, 2022 and 2023, fees received from CRB accounted for 46% and 30%, respectively, of our total revenue. CRB retains a proportion of the loans they originate on their own balance sheet, and sells the remainder of the loans to us, which we in turn sell to institutional investors, sell to our warehouse trust special purpose entities or retain on our balance sheet. Our most recent commercial arrangement with CRB began on January 1, 2019 and has a term of four years with an automatic renewal provision for an additional two years following the initial four-year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originate and/or retain on its balance sheet. We or CRB may terminate our arrangement immediately upon a material breach by the other party and failure to cure such breach within a cure period, if any representations or warranties are found to be false and such error is not cured within a cure period, bankruptcy or insolvency of either party, receipt of an order or judgment by a governmental entity, a material adverse effect, or a change of control whereby such party involved in such change of control provides 90 days’ notice to the other and payment of a termination fee of $450,000. If we are unable to continue to increase the number of other lending partners on our platform or if CRB or one of our other lending partners were to suspend, limit or cease their operations or otherwise terminate their relationship with us, our business, financial condition and results of operations would be adversely affected.</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both the three months ended March 31, 2022 and 2023, one other lending partner originated 38% and 28% of the Transaction Volume, Number of Loans. In the three months ended March 31, 2022 and 2023, the fees received from this lending partner accounted for 31% and 18% of our total revenue, respectively.</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sales and onboarding process of new lending partners could take longer than expected, leading to fluctuations or variability in expected revenues and results of operations.</w:t>
      </w:r>
    </w:p>
    <w:p>
      <w:pPr>
        <w:spacing w:after="0" w:line="18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lending model often involves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partners will begin using our platform and the volume of fees we will receive, which can lead to fluctuations in our revenues and results of operations.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COVID-19 pandemic has harmed, and could continue to harm, our business, financial condition and results of operations and the duration and extent to which it will impact our future results of operations overall financial performance remains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The global macroeconomic effects of the COVID-19 pandemic and related impacts on our business may persist for an indefinite period.</w:t>
      </w:r>
    </w:p>
    <w:p>
      <w:pPr>
        <w:spacing w:after="0" w:line="201"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impact of the COVID-19 pandemic on the finances of borrowers on our platform has also been profound, as many have been, and may continue to be, impacted by unemployment, reduced earnings, inflation and/or elevated economic disruption and insecurity. Such adverse impacts on the economy and borrowers have resulted in, and may continue to contribute to, higher default rates on Upstart-powered loans and an increased rate of borrowers declaring bankruptcy, any of which could adversely affect the attractiveness of Upstart-powered loans to our lending partners and to the institutional investors in our loan funding program. At the end of 2021, the federal government discontinued most stimulus measures taken in response to the COVID-19 pandemic, which has led to, and may continue to lead to, increased delinquency and default rates of loans facilitated through our lending marketplace. If we are unable to improve our AI platform to account for events like the COVID-19 pandemic and the resulting macroeconomic impacts, or if our AI platform is unable to more successfully predict the creditworthiness of potential borrowers compared to other lenders, then our business, financial condition and results of operations could be adversely affected.</w:t>
      </w:r>
    </w:p>
    <w:p>
      <w:pPr>
        <w:spacing w:after="0" w:line="18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Furthermore, the COVID-19 pandemic caused some borrowers on our platform to request a temporary extension or modification of the payment schedules of their loans under the temporary relief or loan modification programs, or hardship programs, offered by our lending partners and institutional investors in our loan funding programs. In the future, our lending partners and institutional investors may offer additional hardship programs. If a large number of borrowers seek to participate in such hardship programs, the investment returns of our lending partners and institutional investors in our loan funding programs could decline. Further, if the rate of borrowers that participate in such hardship programs is greater than those experienced by our competitors, then our lending partners and the institutional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20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continuing crisis and the magnitude and duration of the resulting fluctuations in business activity cannot currently be estimated with any degree of certainty and has had several effects on our business and results of operations, including, among other things:</w:t>
      </w:r>
    </w:p>
    <w:p>
      <w:pPr>
        <w:spacing w:after="0" w:line="190"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decreases in origination volumes on our platform;</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potential for increased losses for new and existing Upstart-powered loans;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lower acceptance rates from borrowers;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reduction in the availability of loan funding and liquidity from institutional investors and the capital markets;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restricted sales operations and marketing efforts, and a reduction in the effectiveness of such efforts in some cases.</w:t>
      </w:r>
    </w:p>
    <w:p>
      <w:pPr>
        <w:spacing w:after="0" w:line="23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continue to monitor the ongoing impact of the COVID-19 pandemic to assess possible implications to our business and to take appropriate actions in an effort to mitigate the adverse consequences of the COVID-19 pandemic. However, there can be no assurances that our initiatives we take will be sufficient or successful.</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extent to which the COVID-19 pandemic continues to impact our business and results of operations will also depend on future developments that are highly uncertain and cannot be predicted, including the emergence of new COVID-19 variants, future spikes of COVID-19 infections resulting in additional preventive measures to contain or mitigate the spread of the virus, the impact on businesses and financial and capital markets, the extent and effectiveness of containment actions, the administration and efficacy of vaccination programs with respect to the prevalent COVID-19 variants or variant strains that will emerge in the future and the impact of further shelter-in-place or other government restrictions that may be imposed. For example, the termination of government stimulus measures reduced the ability of some individual borrowers to remain current on their obligations which we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led to increased delinquencies, defaults, customer bankruptcies and charge-offs and decreasing recoveries for loans facilitated through the Upstart marketplace. A continued rise in default rates, delinquencies, customer bankruptcies or charge-offs have led, and may continue to lead, to lower demand by our lending partners to originate, and institutional investors to fund, loans facilitated through our marketplace, which would have an adverse effect on our business.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“Risk Factors” section.</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legal and regulatory environment surrounding our AI lending marketplace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94"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Since we launched our AI lending marketplace, we have been proactively working with the federal government and regulatory bodies to ensure that our AI lending marketplace and other services are in compliance with applicable laws and regulations. For example, after significant collaboration with the Consumer Financial Protection Bureau, or CFPB, the CFPB issued Upstart the first no-action letter in 2017, which provided that the CFPB would not take supervisory or enforcement action against Upstart for a violation of the Equal Credit Opportunity Act (ECOA). Upon its expiration, we received a second no-action letter regarding the use of our Al model to underwrite and price unsecured closed-end loans. In June 2022, the second no-action letter was terminated upon our request. Our requested termination was driven by a need to keep our models accurate and updated during a period of significant economic change. As a result, we can provide no assurance that the CFPB or any other federal or state regulator will not take supervisory or enforcement action against us in the future.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marketplace, any of which could adversely affect our business, financial condition and results of operations.</w:t>
      </w:r>
    </w:p>
    <w:p>
      <w:pPr>
        <w:spacing w:after="0" w:line="20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Recent financial, political and other events, including the 2023 bank failures and the resulting disruption in the banking sector,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April 2022, the CFPB announced that it intends to examine nonbank financial companies that pose risks to consumers, and in November 2022, the Treasury Department issued a report encouraging the CFPB to increase its supervisory activity with respect to larger nonbank lenders. If the CFPB decides to subject us to its supervisory process, it could significantly increase the level of regulatory scrutiny of our business practices. In addition, the Biden Administration recently announced a government-wide effort to eliminate “junk fees” which could subject our business practices to even further scrutiny. The CFPB’s action on junk fees thus far has largely focused on fees associated with deposit products, such as “surprise” overdraft fees and not-sufficient-funds fees, that are not within scope of Upstart’s products or services. However, what constitutes a “junk fee” remains undefined. The CFPB has called out other fees, such as pay-to-pay fees charged by debt collectors, and is actively soliciting consumer input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fee practices associated with other consumer financial products or services, signaling that the “junk fee” initiative is likely to continue to broaden in scope. While Upstart believes that the costs it charges are reasonable under the circumstances and does not charge any fees that have been scrutinized by the CFPB thus far, we expect that we would still be subject to some additional scrutiny should the “junk fee” initiative expands to include fees directly associated with consumer lending products.</w:t>
      </w:r>
    </w:p>
    <w:p>
      <w:pPr>
        <w:spacing w:after="0" w:line="20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Moreover, the CFPB has issued several interpretive statements and guidance documents that could impact our business practices including, but not limited to, a May 2022 statement on compliance obligations under ECOA for companies that rely on complex algorithms when making credit decisions. Further, the agency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 The CFPB also issued an interpretive rule expanding states’ authority to enforce requirements of federal consumer financial laws, including ECOA. State regulators have also increased the level of regulatory scrutiny on financial technology companies. For example, the State of Maryland initiated an enforcement action against a financial technology company and its bank partner for unlicensed lending within the state. Moreover, as noted above, the OCC has also indicated that it intends to use its supervisory authority to review bank third-party relationships with financial technology companies including a review of third-party business practices that could pose a risk of potential consumer harm that could impact the safety and soundness of the banks subject to agency supervision. Should the agency examine any of our lending partners, such examinations would, more than likely, involve a review of our business practices to determine whether they pose a risk to the safety and soundness of those lending partners.</w:t>
      </w:r>
    </w:p>
    <w:p>
      <w:pPr>
        <w:spacing w:after="0" w:line="19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have been subject to governmental inquiries as well. See the risk factor titled “—</w:t>
      </w:r>
      <w:r>
        <w:rPr>
          <w:rFonts w:ascii="Arial" w:cs="Arial" w:eastAsia="Arial" w:hAnsi="Arial"/>
          <w:sz w:val="16"/>
          <w:szCs w:val="16"/>
          <w:i w:val="1"/>
          <w:iCs w:val="1"/>
          <w:color w:val="auto"/>
        </w:rPr>
        <w:t>We have been in the past and may in the future be subject to federal</w:t>
      </w:r>
      <w:r>
        <w:rPr>
          <w:rFonts w:ascii="Arial" w:cs="Arial" w:eastAsia="Arial" w:hAnsi="Arial"/>
          <w:sz w:val="16"/>
          <w:szCs w:val="16"/>
          <w:color w:val="auto"/>
        </w:rPr>
        <w:t xml:space="preserve"> </w:t>
      </w:r>
      <w:r>
        <w:rPr>
          <w:rFonts w:ascii="Arial" w:cs="Arial" w:eastAsia="Arial" w:hAnsi="Arial"/>
          <w:sz w:val="16"/>
          <w:szCs w:val="16"/>
          <w:i w:val="1"/>
          <w:iCs w:val="1"/>
          <w:color w:val="auto"/>
        </w:rPr>
        <w:t>and state regulatory inquiries regarding our business</w:t>
      </w:r>
      <w:r>
        <w:rPr>
          <w:rFonts w:ascii="Arial" w:cs="Arial" w:eastAsia="Arial" w:hAnsi="Arial"/>
          <w:sz w:val="16"/>
          <w:szCs w:val="16"/>
          <w:color w:val="auto"/>
        </w:rPr>
        <w:t>” for more information. Any government investigations or inquiries, whether or not accurate or warranted, or</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Substantially all of our revenue is derived from a single loan product, and we are thus particularly susceptible to fluctuations in the unsecured personal loan market. We also do not currently offer a broad suite of products that lending partners may find desirable.</w:t>
      </w:r>
    </w:p>
    <w:p>
      <w:pPr>
        <w:spacing w:after="0" w:line="18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While we expanded the type of loan products offered on our platform to include auto loans and continue to invest in developing new loan products, the vast majority of loan originations currently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19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lending partners may in the future seek partnerships with competitors that are able to offer them a broader array of credit products. Over time, in order to preserve and expand our relationships with our existing lending partners, and enter into new lending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having the same significance as other credit obligations arising under more traditional circumstances, such as loans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spacing w:after="0" w:line="1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effectively manage our growth, our business, financial condition and results of operations could be adversely affected.</w:t>
      </w:r>
    </w:p>
    <w:p>
      <w:pPr>
        <w:spacing w:after="0" w:line="24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Over the last several years, we experienced rapid growth in our business. Our rapid growth during that time placed significant demands on our management, processes and operational, technological and financial resources. More recently, economic headwinds in 2022 led to us announcing reductions in our workforce in November 2022 and January 2023 which were intended to help us achieve a more cost-efficient organization. These fluctuations in the momentum of our business challenge our ability to manage our growth 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As part of that effort and from time to time, we rely on temporary independent contractor programs to scale our operations team. Failure to effectively implement and manage such programs could result in misclassification or other employment related claims or inquiries by governmental agencies. Continued fluctuations in the momentum of our business will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 See also the risk factor titled “</w:t>
      </w:r>
      <w:r>
        <w:rPr>
          <w:rFonts w:ascii="Arial" w:cs="Arial" w:eastAsia="Arial" w:hAnsi="Arial"/>
          <w:sz w:val="16"/>
          <w:szCs w:val="16"/>
          <w:i w:val="1"/>
          <w:iCs w:val="1"/>
          <w:color w:val="auto"/>
        </w:rPr>
        <w:t>We depend on our key personnel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highly skilled personnel, and if we fail to attract, retain and motivate our personnel, our business, financial condition and results of operations could be adversely affected.”</w:t>
      </w:r>
    </w:p>
    <w:p>
      <w:pPr>
        <w:spacing w:after="0" w:line="199"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6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We have introduced auto loan and small dollar loan products and are continuing to invest in developing new loan products and service offerings, such as mortgages.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184"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our small business loan product when we decided to suspend its development in January 2023 due to the adverse macroeconomic conditions affecting our business at that time. If the profile of borrowers using any new products and services is different from that of those currently served by our existing loan products, our AI models may not be able to accurately evaluate the credit risk of such borrowers, and our lending partners and institutional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Our reputation and brand are important to our success, and if we are unable to continue developing our reputation and brand, our ability to retain existing and attract new lending partners, our ability to attract borrowers to our platform, our ability to maintain a diverse funding marketplace and our ability to maintain and improve our relationship with regulators of our industry could be adversely affected.</w:t>
      </w:r>
    </w:p>
    <w:p>
      <w:pPr>
        <w:spacing w:after="0" w:line="1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believe maintaining a strong brand and trustworthy reputation is critical to our success and our ability to attract borrowers to our platform, attract new lending partners, maintain a diverse funding marketplace and sustain good relations with regulators. Factors that affect our brand and reputation include: perceptions of artificial intelligence, our industry and our company, including the quality and reliability of our AI lending marketplace; the accuracy of our AI models; characterizations of our company as a traditional lending company due to the amount of loans held on our balance sheet; perceptions regarding the application of artificial intelligence to consumer lending specifically and that algorithmic lending is inherently biased;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208"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high-rate, small-dollar lending programs. Bank regulators have even required banks to exit third-party programs that the regulators determined involved unsafe and unsound practices. The payday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high-rate,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lending partners to reduce their origination volumes or terminate their arrangements with us, impede our ability to attract new lending partners or delay the onboarding of lending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1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marketplace if there is enough negative perception surrounding such practices. We may also become subject to lawsuits, including class action lawsuits, or other challenges such as government enforcement or arbitration, against our lending partners or us for loans originated by our lending partners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20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Artificial intelligence and related technologies are subject to public debate and heightened regulatory scrutiny. The CFPB Director recently indicated that artificial intelligence remains a regulatory hot topic for the agency including the use of complex credit scoring models as part of the loan underwriting process. The agency has taken several steps to increase regulatory scrutiny of financial technology companies that rely on artificial intelligence. Any negative publicity or negative public perception of artificial intelligence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platform, retain existing and attract new lending partners and achieve regulatory acceptance of our business.</w:t>
      </w:r>
    </w:p>
    <w:p>
      <w:pPr>
        <w:spacing w:after="0" w:line="19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models and requesting that the 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models, including, but not limited to, its use of educational variables, and to engage a neutral third-party firm to perform periodic fair lending assessments over a two-year period. In accordance with the terms of the agreement, we engaged Relman Colfax LLC, or Relman, as a neutral third-party firm, and provided data to conduct fair lending testing of our underwriting models. The fair lending testing was designed to assess lending outcomes from our underwriting models to determine if the models caused or resulted in a disparate impact on any protected class, and if so, whether there were less discriminatory alternative practices while maintaining the models’ predictiveness. Most recently, in September 2022, Relman published its third public report that summarized its findings, recommendations and best practices, as well as any aspects of our AI models that raise particular fair lending concerns or implicate novel insights on educational equity that serve the public interest. While we have input on Relman’s reports and the agreement provides that Relman and the parties to the agreement will collaborate to reach agreement on any recommendations, we may disagree with Relman, the LDF or the SBPC regarding the contents of the reports or particular recommendations that were made, the manner in which they should be implemented, if at all, or whether they would maintain the predictiveness of our AI models or meet any other legitimate business needs of Upstart. If we do not implement Relman’s recommendations, the LDF and/or the SBPC could terminate the agreement with us. If Relman’s reports are viewed negatively for any reason, or Relman terminates its agreement with us and/or the agreement with the LDF and/or the SBPC is terminated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or the SBPC, including the reports published by Relman, could lead to additional regulatory scrutiny for our lending partners.</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been subject to other governmental inquiries on this topic. See the risk factor titled “</w:t>
      </w:r>
      <w:r>
        <w:rPr>
          <w:rFonts w:ascii="Arial" w:cs="Arial" w:eastAsia="Arial" w:hAnsi="Arial"/>
          <w:sz w:val="17"/>
          <w:szCs w:val="17"/>
          <w:i w:val="1"/>
          <w:iCs w:val="1"/>
          <w:color w:val="auto"/>
        </w:rPr>
        <w:t>—We have been in the past and may in the future be subject</w:t>
      </w:r>
      <w:r>
        <w:rPr>
          <w:rFonts w:ascii="Arial" w:cs="Arial" w:eastAsia="Arial" w:hAnsi="Arial"/>
          <w:sz w:val="17"/>
          <w:szCs w:val="17"/>
          <w:color w:val="auto"/>
        </w:rPr>
        <w:t xml:space="preserve"> </w:t>
      </w:r>
      <w:r>
        <w:rPr>
          <w:rFonts w:ascii="Arial" w:cs="Arial" w:eastAsia="Arial" w:hAnsi="Arial"/>
          <w:sz w:val="17"/>
          <w:szCs w:val="17"/>
          <w:i w:val="1"/>
          <w:iCs w:val="1"/>
          <w:color w:val="auto"/>
        </w:rPr>
        <w:t>to federal and state regulatory inquiries regarding our business</w:t>
      </w:r>
      <w:r>
        <w:rPr>
          <w:rFonts w:ascii="Arial" w:cs="Arial" w:eastAsia="Arial" w:hAnsi="Arial"/>
          <w:sz w:val="17"/>
          <w:szCs w:val="17"/>
          <w:color w:val="auto"/>
        </w:rPr>
        <w:t>” for more information. Negative public perception, actions by advocacy groups or legislative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Misconduct and errors by our employees, former employees, vendors, or service providers could harm our reputation and subject us to significant legal liability.</w:t>
      </w:r>
    </w:p>
    <w:p>
      <w:pPr>
        <w:spacing w:after="0" w:line="183"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color w:val="auto"/>
        </w:rPr>
        <w:t>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If any of our employees, vendors or service providers engage in illegal, improper, or suspicious activity or other misconduct, we could suffer serious harm to our reputation, financial condition, relationships with lending partners and borrowers, and our ability to attract new lending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do not compete effectively in our target markets, our business, results of operations and financial condition could be harmed.</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201"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lending partners, approval rates, model efficiency, speed and simplicity of loan origination, ease-of-use, marketing expertise, service levels, products and services, technological capabilities and integration, borrower experience, brand and reputation, and terms available to our loan funding institutional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institutional investor bases than we have, greater capacity to fund loans through their balance sheets, and more extensive product and service offerings than we have.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19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5"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b w:val="1"/>
          <w:bCs w:val="1"/>
          <w:color w:val="auto"/>
        </w:rPr>
        <w:t>Our business is heavily concentrated in U.S. consumer credit, and therefore our results are more susceptible to fluctuations in that market than a more diversified company.</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manage the risks associated with fraudulent activity, our brand and reputation, business, financial condition and results of operations could be adversely affected.</w:t>
      </w:r>
    </w:p>
    <w:p>
      <w:pPr>
        <w:spacing w:after="0" w:line="18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lending partners and institutional investors in our loan funding programs. For example, in the third quarter of 2021 and the first quarter of 2022, we experienced temporary increases in fraudulent activity.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related losses of Upstart-powered loans could increase, which would decrease confidence in our AI lending marketplace. In addition, our lending partners, institutional investors in our loan funding programs or we may not be able to recover amounts disbursed on loans made in connection with inaccurate statements, omissions of fact or fraud, which could erode the trust in our brand and negatively impact our ability to attract new lending partners and institutional investors in our loan funding programs.</w:t>
      </w:r>
    </w:p>
    <w:p>
      <w:pPr>
        <w:spacing w:after="0" w:line="20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fail to achieve the expected cost savings and related benefits from our reduction in workforce initiated in November 2022 and January 2023.</w:t>
      </w:r>
    </w:p>
    <w:p>
      <w:pPr>
        <w:spacing w:after="0" w:line="2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November 2022, we announced a plan to reduce our workforce on our Operations Onboarding team to enable us to help achieve a more cost-efficient organization, which resulted in reducing headcount by 7%. In January 2023, we announced another plan to reduce our workforce by 20% to reduce operating costs, streamline operations and return Upstart to profitability.</w:t>
      </w:r>
    </w:p>
    <w:p>
      <w:pPr>
        <w:spacing w:after="0" w:line="20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We may fail to effectively execute on, or achieve the stated goals of, the reductions in workforce. Our plans may also change as we continue to refocus on reducing operating costs, streamlining operations and returning our business to profitability. These actions may take more time than we currently estimate and we may not be able to achieve the cost-efficiencies sought. In addition, the reduction in workforce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goals.</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success significantly depends on the continued service of our senior management team, including Dave Girouard, our Co-Founder and Chief Executive Officer, and Paul Gu, our Co-Founder and Chief Technology Officer, and other highly skilled personnel. Our success also depends on our ability to identify, hire, develop, motivate and retain highly qualified personnel for all areas of our organization.</w:t>
      </w:r>
    </w:p>
    <w:p>
      <w:pPr>
        <w:spacing w:after="0" w:line="20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Competition for highly skilled personnel, including engineering and data analytics personnel, is extremely intense,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spacing w:after="0" w:line="20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addition, we invest significant time and expense in training our employees, which increases their value to competitors who may seek to recruit them. If we fail to retain our employees, we could incur significant expenses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spacing w:after="0" w:line="190"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Furthermore, we have reduced our workforce in November 2022 and January 2023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conditions and results of operations may be adversely affected.</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Security breaches and incidents compromising borrowers’ confidential information that we store may harm our reputation, adversely affect our results of operations and expose us to liability.</w:t>
      </w:r>
    </w:p>
    <w:p>
      <w:pPr>
        <w:spacing w:after="0" w:line="18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lending partners, loan institutional investors, or by malicious third parties. While we continuously refine our security controls to address the evolving threat landscape,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These risks may be heightened in connection with the Russia-Ukraine conflict.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Digital First working environment could increase the risks of security breaches and incidents. Significant disruptions of our, our lending partners and third-party vendors’ and/or other business partners’ information technology systems or other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3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data security measures on our platform. Any security breach or incident, whether actual or perceived, would harm our reputation and ability to attract new borrowers to our platform.</w:t>
      </w:r>
    </w:p>
    <w:p>
      <w:pPr>
        <w:spacing w:after="0" w:line="19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also face indirect technology, cybersecurity and operational risks relating to the borrowers, lending partners, institutional investors, vendors and other third parties with whom we do business or upon whom we rely on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8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lending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lending partners and other third parties to lose trust in us or we could be subject to claims by our lending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conducted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3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manage the risks related to our loan servicing and collections obligations, our business, financial condition and results of operations could be adversely affected.</w:t>
      </w:r>
    </w:p>
    <w:p>
      <w:pPr>
        <w:spacing w:after="0" w:line="1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The vast majority of Upstart-powered loans are not secured by any collateral, guaranteed or insured by any third party or backed by any governmental authority. As a result, we are limited in our ability to collect on such loans on behalf of our lending partners and institutional investors of our loan funding programs if a borrower is unwilling or unable to repay them. The ability to collect on the loans is dependent on the borrower’s continuing financial stability, and consequently, collections can be adversely affected by a number of factors, including, but not limited to, unemployment, divorce, death, illness, bankruptcy or the economic or social factors beyond a borrower’s personal circumstances. In addition, the application of various federal and state laws, including federal and state 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platform, reduce income received from the loans facilitated through our platform, or negatively affect our business, financial condition and results of operations.</w:t>
      </w:r>
    </w:p>
    <w:p>
      <w:pPr>
        <w:spacing w:after="0" w:line="198"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began conducting first-party collection activities in the fourth quarter of 2022. We have no prior experience conducting first-party or in-house collection activities, and we cannot be certain that we will be able to effectively manage risks associated with such activities. In addition to first-party collection activities, we partner with third-party collection agencies for loans we service. If such third-party collection agencies do not perform as expected under our agreements with them or if we or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we and the collection agents are proactive and consistent in contacting a borrower to bring a delinquent balance current and ultimately avoid the related loan becoming charged off. If we or the collection agents are unable to maintain a high quality of service, or fulfill the servicing obligations at all due to resource constraints, it could result in increased delinquencies and charge-offs on the loans, which could decrease fees payable to us, cause our lending partners to decrease the volume of Upstart-powered loans kept on their balance sheets, erode trust in our lending marketplace or increase the costs of our loan funding programs. If we fail to successfully address any of the foregoing risks associated with our collection activities, our business, financial condition and results of operations could be adversely affected.</w:t>
      </w:r>
    </w:p>
    <w:p>
      <w:pPr>
        <w:spacing w:after="0" w:line="19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are the loan servicer for most loans facilitated through our platform, including those loans that are part of our loan funding programs, such as asset-backed securitization, pass-through certificate transactions and whole loan sales.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institutional investors in our loan funding programs.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are subject to change.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20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While auto loans issued through our lending platform are secured by collateral, auto loans are inherently risky, as they are often secured by assets that may be difficult to locate and can depreciate rapidly. We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lending partners to decrease the volume of Upstart-powered auto loans kept on their balance sheets, erode trust in our lending marketplace and increase the costs of our loan funding programs.</w:t>
      </w:r>
    </w:p>
    <w:p>
      <w:pPr>
        <w:spacing w:after="0" w:line="18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In connection with our loan funding programs, we make representations and warranties concerning the loans sold, and if such representations and warranties are not accurate when made, we could be required to repurchase the applicable loans.</w:t>
      </w:r>
    </w:p>
    <w:p>
      <w:pPr>
        <w:spacing w:after="0" w:line="183" w:lineRule="exact"/>
        <w:rPr>
          <w:sz w:val="20"/>
          <w:szCs w:val="20"/>
          <w:color w:val="auto"/>
        </w:rPr>
      </w:pPr>
    </w:p>
    <w:p>
      <w:pPr>
        <w:jc w:val="both"/>
        <w:ind w:firstLine="619"/>
        <w:spacing w:after="0" w:line="270" w:lineRule="auto"/>
        <w:rPr>
          <w:sz w:val="20"/>
          <w:szCs w:val="20"/>
          <w:color w:val="auto"/>
        </w:rPr>
      </w:pPr>
      <w:r>
        <w:rPr>
          <w:rFonts w:ascii="Arial" w:cs="Arial" w:eastAsia="Arial" w:hAnsi="Arial"/>
          <w:sz w:val="16"/>
          <w:szCs w:val="16"/>
          <w:color w:val="auto"/>
        </w:rPr>
        <w:t>In our loan funding programs, including asset-backed securitizations, pass-through certificate transactions, warehouse credit facilities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in our loan funding programs. If those representations and warranties were not accurate when made and are not timely cured or incurable, we may be required to repurchase the underlying loans. Failure to repurchase such loans could constitute a default, an event of default or termination event under the agreements governing our various loan funding programs and could require us to indemnify certain financing parties. Through March 31, 2023, the number of repurchased Upstart-powered loans as a result of inaccurate representations and warranties represents less than 0.37%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20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lending partners and institutional investors in our loan funding programs would be adversely affected and our ability to attract new lending partners and institutional investors in our loan funding programs would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marketing efforts and brand promotion activities may not be effective.</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Promoting awareness of our AI lending marketplace is important to our ability to grow our business, attract new lending partners, increase the number of potential borrowers on our platform and attract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to participate in our loan funding programs. We believe that the importance of brand recognition will increase as competition in the consumer lending industry expands. However, because our lending partners are increasingly adopting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0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brand promotion activities may not yield increased revenues. If we fail to successfully build trust in our AI lending marketplace and the performance and predictability of Upstart-powered loans, we may lose existing lending partners and institutional investors in our loan funding programs to our competitors or be unable to attract new lending partners and institutional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Unfavorable outcomes in legal proceedings may harm our business and results of operations.</w:t>
      </w:r>
    </w:p>
    <w:p>
      <w:pPr>
        <w:spacing w:after="0" w:line="24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For example, we are a defendant in a number of securities class action and other related lawsuits. See the risk factor titled “—</w:t>
      </w:r>
      <w:r>
        <w:rPr>
          <w:rFonts w:ascii="Arial" w:cs="Arial" w:eastAsia="Arial" w:hAnsi="Arial"/>
          <w:sz w:val="16"/>
          <w:szCs w:val="16"/>
          <w:i w:val="1"/>
          <w:iCs w:val="1"/>
          <w:color w:val="auto"/>
        </w:rPr>
        <w:t>The trading price of our common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may be volatile, and you could lose all or part of your investment</w:t>
      </w:r>
      <w:r>
        <w:rPr>
          <w:rFonts w:ascii="Arial" w:cs="Arial" w:eastAsia="Arial" w:hAnsi="Arial"/>
          <w:sz w:val="16"/>
          <w:szCs w:val="16"/>
          <w:color w:val="auto"/>
        </w:rPr>
        <w:t>” for more information.</w:t>
      </w:r>
    </w:p>
    <w:p>
      <w:pPr>
        <w:spacing w:after="0" w:line="19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18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through the lending marketplace. See—“If loans facilitated through our platform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lending partners (which are exempt from certain state requirements under federal banking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w:t>
      </w:r>
      <w:r>
        <w:rPr>
          <w:rFonts w:ascii="Arial" w:cs="Arial" w:eastAsia="Arial" w:hAnsi="Arial"/>
          <w:sz w:val="15"/>
          <w:szCs w:val="15"/>
          <w:i w:val="1"/>
          <w:iCs w:val="1"/>
          <w:color w:val="auto"/>
        </w:rPr>
        <w:t>If loans originated by our lending partners were found to violate the laws of one or more states, whether at</w:t>
      </w:r>
      <w:r>
        <w:rPr>
          <w:rFonts w:ascii="Arial" w:cs="Arial" w:eastAsia="Arial" w:hAnsi="Arial"/>
          <w:sz w:val="15"/>
          <w:szCs w:val="15"/>
          <w:color w:val="auto"/>
        </w:rPr>
        <w:t xml:space="preserve"> </w:t>
      </w:r>
      <w:r>
        <w:rPr>
          <w:rFonts w:ascii="Arial" w:cs="Arial" w:eastAsia="Arial" w:hAnsi="Arial"/>
          <w:sz w:val="15"/>
          <w:szCs w:val="15"/>
          <w:i w:val="1"/>
          <w:iCs w:val="1"/>
          <w:color w:val="auto"/>
        </w:rPr>
        <w:t>origination or after sale by the lending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5"/>
          <w:szCs w:val="15"/>
          <w:color w:val="auto"/>
        </w:rPr>
        <w:t>” below. In addition, the recent inquiries related to our model’s use of education variables in assessing credit risk could prompt</w:t>
      </w:r>
      <w:r>
        <w:rPr>
          <w:rFonts w:ascii="Arial" w:cs="Arial" w:eastAsia="Arial" w:hAnsi="Arial"/>
          <w:sz w:val="15"/>
          <w:szCs w:val="15"/>
          <w:i w:val="1"/>
          <w:iCs w:val="1"/>
          <w:color w:val="auto"/>
        </w:rPr>
        <w:t xml:space="preserve"> </w:t>
      </w:r>
      <w:r>
        <w:rPr>
          <w:rFonts w:ascii="Arial" w:cs="Arial" w:eastAsia="Arial" w:hAnsi="Arial"/>
          <w:sz w:val="15"/>
          <w:szCs w:val="15"/>
          <w:color w:val="auto"/>
        </w:rPr>
        <w:t>potential litigation and government enforcement claims based on perceived violations of ECOA. See—“</w:t>
      </w:r>
      <w:r>
        <w:rPr>
          <w:rFonts w:ascii="Arial" w:cs="Arial" w:eastAsia="Arial" w:hAnsi="Arial"/>
          <w:sz w:val="15"/>
          <w:szCs w:val="15"/>
          <w:i w:val="1"/>
          <w:iCs w:val="1"/>
          <w:color w:val="auto"/>
        </w:rPr>
        <w:t>We have been in the past and may in the future be subject</w:t>
      </w:r>
      <w:r>
        <w:rPr>
          <w:rFonts w:ascii="Arial" w:cs="Arial" w:eastAsia="Arial" w:hAnsi="Arial"/>
          <w:sz w:val="15"/>
          <w:szCs w:val="15"/>
          <w:color w:val="auto"/>
        </w:rPr>
        <w:t xml:space="preserve"> </w:t>
      </w:r>
      <w:r>
        <w:rPr>
          <w:rFonts w:ascii="Arial" w:cs="Arial" w:eastAsia="Arial" w:hAnsi="Arial"/>
          <w:sz w:val="15"/>
          <w:szCs w:val="15"/>
          <w:i w:val="1"/>
          <w:iCs w:val="1"/>
          <w:color w:val="auto"/>
        </w:rPr>
        <w:t>to federal and state regulatory inquiries regarding our business</w:t>
      </w:r>
      <w:r>
        <w:rPr>
          <w:rFonts w:ascii="Arial" w:cs="Arial" w:eastAsia="Arial" w:hAnsi="Arial"/>
          <w:sz w:val="15"/>
          <w:szCs w:val="15"/>
          <w:color w:val="auto"/>
        </w:rPr>
        <w:t>” below. If we were subject to such litigation or enforcement, then any unfavorable results of</w:t>
      </w:r>
      <w:r>
        <w:rPr>
          <w:rFonts w:ascii="Arial" w:cs="Arial" w:eastAsia="Arial" w:hAnsi="Arial"/>
          <w:sz w:val="15"/>
          <w:szCs w:val="15"/>
          <w:i w:val="1"/>
          <w:iCs w:val="1"/>
          <w:color w:val="auto"/>
        </w:rPr>
        <w:t xml:space="preserve"> </w:t>
      </w:r>
      <w:r>
        <w:rPr>
          <w:rFonts w:ascii="Arial" w:cs="Arial" w:eastAsia="Arial" w:hAnsi="Arial"/>
          <w:sz w:val="15"/>
          <w:szCs w:val="15"/>
          <w:color w:val="auto"/>
        </w:rPr>
        <w:t>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have a limited history of operating with a Digital First workforce, and the long-term impact on our business, financial condition and results of operations is uncertain.</w:t>
      </w:r>
    </w:p>
    <w:p>
      <w:pPr>
        <w:spacing w:after="0" w:line="183"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7"/>
          <w:szCs w:val="17"/>
          <w:color w:val="auto"/>
        </w:rPr>
        <w:t>Since our announcement of a Digital First work model in June 2021, remote work with less time in the office has been the primary experience for most of our employees. Our workforce is currently distributed across the U.S., and we expect this distribution to continue. We have a limited history of operating with a Digital First workforce.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spacing w:after="0" w:line="20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19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60"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addressing acquisition integration challenges;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utilization of our financial resources for acquisitions or investments that may fail to realize the anticipated benefits;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125" w:lineRule="exact"/>
        <w:rPr>
          <w:rFonts w:ascii="Arial" w:cs="Arial" w:eastAsia="Arial" w:hAnsi="Arial"/>
          <w:sz w:val="16"/>
          <w:szCs w:val="16"/>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coordination of technology, product development and sales and marketing functions and integration of administrative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transition of the acquired company’s borrowers to our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retention of employees from the acquired company;</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risks, including maintaining good standing with existing regulatory bodies or receiving any necessary approvals, as well as being subject to new regulators with oversight over an acquired business;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attracting financing;</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need to implement or improve controls, procedures and policies at a business that prior to the acquisition may have lacked effective controls, procedures and policies;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potential write-offs of loans or intangibles or other assets acquired in such transactions that may have an adverse effect on our results of operations in a given period;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assumption of contractual obligations that contain terms that are not beneficial to us, require us to license or waive intellectual property or increase our risk for liability;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litigation, claims or other liabilities in connection with the acquired company.</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198"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One of our headquarters is located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San Francisco Bay Area, a region that is prone to seismic activity and has experienced and may continue to experience, climate-related events and at an increasing rate. Examples include but are not limited to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other headquarters in Columbus, Ohio is a region at higher risk for extreme winter weather, including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0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acts of war and other armed conflicts, disruptions in global trade, travel restrictions and quarantines, terrorism and other civil, political and geo-political unrest, such as the ongoing Russia-Ukraine conflict,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fair value determinations, stock-based compensation, consolidation of variable interest entities, provision for income taxes, net of valuation allowance for deferred tax assets, and the evaluation for impairment of goodwill and acquired intangible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8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regulations will continue to increase our legal, accounting, and financial compliance costs, make some activities more difficult, time-consuming, and costly, and place significant strain on our personnel, systems, and resources.</w:t>
      </w:r>
    </w:p>
    <w:p>
      <w:pPr>
        <w:spacing w:after="0" w:line="19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8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Certain estimates and growth forecasts included in this report, including those we have generated ourselves, are subject to significant uncertainty and are based on assumptions and estimates that may not prove to be 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maintain cash deposits in excess of federally insured limits. Adverse developments affecting financial institutions, including bank failures, could adversely affect our liquidity and financial performance.</w:t>
      </w:r>
    </w:p>
    <w:p>
      <w:pPr>
        <w:spacing w:after="0" w:line="1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regularly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200" w:lineRule="exact"/>
        <w:rPr>
          <w:sz w:val="20"/>
          <w:szCs w:val="20"/>
          <w:color w:val="auto"/>
        </w:rPr>
      </w:pPr>
    </w:p>
    <w:p>
      <w:pPr>
        <w:spacing w:after="0" w:line="337"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RISKS RELATED TO OUR INTELLECTUAL PROPERTY AND PLATFORM DEVELOPMENT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may be difficult and costly to protect our intellectual property rights, and we may not be able to ensure their protection.</w:t>
      </w:r>
    </w:p>
    <w:p>
      <w:pPr>
        <w:spacing w:after="0" w:line="24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patents issued and one patent application pending, we have limited patent protection and our patent application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18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1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Any significant disruption in our AI lending platform could prevent us from processing loan applicants and servicing loans, reduce the effectiveness of our AI models and result in a loss of lending partners or borrowers.</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cloud storage services and national consumer reporting agencies.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platform, we obtain borrowers’ data from national consumer reporting agencies, such as TransUnion, and rely on their services in order to process loan applications. Any interference or disruption of our technology and underlying infrastructure or our use of third-party services could adversely affect our relationships with our lending partners and institutional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0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platform and internal systems rely on software that is highly technical, and if our software contains undetected errors, our business could be adversely affected.</w:t>
      </w:r>
    </w:p>
    <w:p>
      <w:pPr>
        <w:spacing w:after="0" w:line="18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1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Some aspects of our business processes include open source software, and any failure to comply with the terms of one or more of these open source licenses could negatively affect our business.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Some open source licenses contain requirements that we make source code available at no cost for modifications or derivative works we create based upon the type of open source software we use.</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43" w:lineRule="exact"/>
        <w:rPr>
          <w:sz w:val="20"/>
          <w:szCs w:val="20"/>
          <w:color w:val="auto"/>
        </w:rPr>
      </w:pPr>
    </w:p>
    <w:p>
      <w:pPr>
        <w:jc w:val="both"/>
        <w:spacing w:after="0" w:line="357" w:lineRule="auto"/>
        <w:rPr>
          <w:sz w:val="20"/>
          <w:szCs w:val="20"/>
          <w:color w:val="auto"/>
        </w:rPr>
      </w:pPr>
      <w:r>
        <w:rPr>
          <w:rFonts w:ascii="Arial" w:cs="Arial" w:eastAsia="Arial" w:hAnsi="Arial"/>
          <w:sz w:val="15"/>
          <w:szCs w:val="15"/>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13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 significant number of consumers that apply for a loan on Upstart.com learn about and access Upstart.com through the website of a loan aggregator, typically with a hyperlink from such loan aggregator’s website to a landing page on our website. While we are planning to move towards more direct acquisition channels, we anticipate that we will continue to depend in significant part on relationships with loan aggregators to maintain and grow our business. For example, a significant amount of our loan originations was derived from traffic from one of our partners, Credit Karma. Our most recent agreement with Credit Karma provides that either party may terminate our arrangement immediately upon a material breach of any provision of the agreement or at any time, with or without cause, by providing no less than 30 days’ notice. Our agreements with the loan aggregators do not require loan aggregators,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including Credit Karma, to display offers from lenders on Upstart.com nor prohibit them from working with our competitors or from offering competing services. In this regard, Credit Karma has been directing, and may continue to direct, more customer traffic to a program that hosts and aggregates the credit models of other loan providers directly on its platform for the purpose of giving credit offers. If traffic from Credit Karma or other loan aggregators decreases in the future as a result of this program or for other reasons, our loan originations and results of operations would be adversely affected. There is also no assurance that Credit Karma or other loan aggregators will continue its contract with us on commercially reasonable terms or at all. Furthermore, on December 3, 2020, Credit Karma was acquired by Intuit Inc. It is possible Intuit may not continue our agreement on commercially reasonable terms or at all, which would adversely affect our business.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0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20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lending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9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17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spacing w:after="0" w:line="211"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marketplace or increase the number of Upstart-powered loans and adversely affect our business, financial condition and results of operations.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0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Failure by our third-party vendors or our failure to comply with legal or regulatory requirements or other contractual requirements could have an adverse effect on our business.</w:t>
      </w:r>
    </w:p>
    <w:p>
      <w:pPr>
        <w:spacing w:after="0" w:line="18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1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CFPB and each of the prudential bank regulators that supervise our lending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lending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 Furthermore, in July 2021, the prudential bank regulators issued a proposal to significantly revise bank oversight of service providers, which could impact the way in which we are monitored or reviewed where we provide services to those banks.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If loans originated by our lending partners were found to violate the laws of one or more states, whether at origination or after sale by the lending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7"/>
          <w:szCs w:val="17"/>
          <w:color w:val="auto"/>
        </w:rPr>
        <w:t>.</w:t>
      </w:r>
    </w:p>
    <w:p>
      <w:pPr>
        <w:spacing w:after="0" w:line="20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lending partners rely on certain authority under federal law to export the interest rate requirements of the state where each lending partner is located to borrowers in all other states. Further, certain of our lending partners and institutional investors rely on the ability of subsequent holders to continue charging such rate and fee structures and enforce other contractual terms agreed to by our lending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 Furthermore, other states have enacted additional limitations on interest rates and fees, such as the March 2021 Illinois law that capped interest rates on loans at an “all-in” 36% APR.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11"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20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institutional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1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1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issued a rule pertaining to the “true lender” issue, which was challenged by state attorneys general in a complaint filed January 5, 2021, and subsequently repealed through the Congressional Review Act on June 30,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 On February 8, 2022, the court ruled in favor of the OCC and FDIC holding that the agencies did not exceed their statutory authorities when promulgating their “valid when made” rules.</w:t>
      </w:r>
    </w:p>
    <w:p>
      <w:pPr>
        <w:spacing w:after="0" w:line="21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20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Additionally, 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It is possible that other states may follow suit, instituting similar statutory “true lender” tests, which may impact the risk of true lender litigation in certain jurisdictions, as well as the tests applied by courts and regulators in determining the true lender. While such provisions provide additional clarity with respect to jurisdictional requirements, they may also result in increased usury and licensing risk. For example, Hawaii has broadened its oversight of installment lenders. Effective January 1, 2022, Hawaii instituted a new licensing requirement for “installment lenders”, which is defined to capture loans offered under a bank partnership model (i.e., it applies to a person “who arranges a consumer loan for a third party, or who acts as an agent for a third party, regardless of whether the third party is exempt from licensure.” H.B. 1192 (2021)). Other states may take different paths to promulgate similar “true lender” restrictions, and if not through a legislative path, impacted parties may have little to no advance notice of new restrictions and compliance obligations.</w:t>
      </w:r>
    </w:p>
    <w:p>
      <w:pPr>
        <w:spacing w:after="0" w:line="19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If a borrower or any state agency were to successfully bring a claim against us, our lending partners, our securitization vehicles and/or the trustees of such vehicles or our institutional investors for a state usury law or fee restriction violation and the rate or fee at issue on the loan was impermissible under applicable state law, we, our lending partners, securitization vehicles and/or trustees or institutional investors in our loan funding programs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1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If loans facilitated through our platform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18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Upstart-powered loans are originated in reliance on the fact that our lending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lending partners, many state consumer financial regulatory requirements, including usury restrictions (other than the restrictions of the state in which a lending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9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 This case has since been remanded to the Superior Court of the District of Columbia. A similar complaint against online lender Opportunity Financial, LLC was filed in early 2021, alleging that it rather than a bank originated these loans and the loans were therefore in violation of Washington, DC usury laws. The parties settled this case in November 2021. Also in April 2021, the Maryland Office of the Commissioner of Financial Regulation also alleged in the context of a civil suit that a state-chartered bank and its fintech partners engaged in a bank partnership program that violated various state licensing and credit statutes. The case is pending before the Office of the Commissioner of Financial Regulation for administrative adjudication.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CRB (Case No. 21-CV-985). Furthermore, in April 2022, the California Department of Financial Protection and Innovation filed a complaint in Los Angeles Superior Court alleging that Opportunity Financial, LLC is the “true lender” of several loans to California residents that exceeded the applicable California usury limit for small dollar loans. There is an ongoing risk that government agencies and private plaintiffs will seek to challenge these types of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19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lending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However, we have taken steps to confirm that our business model conforms with the requirements of the Colorado safe harbor. We have also taken additional steps to facilitate compliance with that above-described law enacted in Maine.</w:t>
      </w:r>
    </w:p>
    <w:p>
      <w:pPr>
        <w:spacing w:after="0" w:line="20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16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It is also possible that other state agencies or regulators could make similar assertions. If a court, or a state or federal enforcement agency, were to deem Upstart, rather than our lending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lending partners, institutional investors or other commercial counterparties).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counterparty risk with respect to the capped call transactions.</w:t>
      </w:r>
    </w:p>
    <w:p>
      <w:pPr>
        <w:spacing w:after="0" w:line="24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or cash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0" w:lineRule="exact"/>
        <w:rPr>
          <w:sz w:val="20"/>
          <w:szCs w:val="20"/>
          <w:color w:val="auto"/>
        </w:rPr>
      </w:pPr>
    </w:p>
    <w:p>
      <w:pPr>
        <w:spacing w:after="0" w:line="236"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RISKS RELATED TO OUR REGULATORY ENVIRONMENT</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Litigation, regulatory actions and compliance issues could subject us to significant fines, penalties, judgments, remediation costs and/or requirements resulting in increased expenses.</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20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are subject to or facilitate compliance with a variety of federal, state, and local laws, including those related to consumer protection and loan financings.</w:t>
      </w:r>
    </w:p>
    <w:p>
      <w:pPr>
        <w:spacing w:after="0" w:line="1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and has appointed consumer-oriented regulators at federal agencies such as the CFPB and the OCC. It is possible that regulators in the presidential administration could promulgate rulemakings and bring enforcement actions that materially impact our business and the business of our lending partners. These regulators may augment requirements that apply to loans facilitated by our platform, or impose new programs and restrictions, and could otherwise revise or create new regulatory requirements that apply to us (or our lending partners), impacting our business, operations,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Certain state laws generally regulate interest rates and other charges and require certain disclosures. In addition, other federal and state laws may apply to the origination, servicing and collection of loans originated on our platform, and the purchase and sale of whole loans or asset-backed securitizations. In particular, certain laws, regulations and rules we or our lending partners are subject to include:</w:t>
      </w:r>
    </w:p>
    <w:p>
      <w:pPr>
        <w:spacing w:after="0" w:line="72" w:lineRule="exact"/>
        <w:rPr>
          <w:sz w:val="20"/>
          <w:szCs w:val="20"/>
          <w:color w:val="auto"/>
        </w:rPr>
      </w:pPr>
    </w:p>
    <w:p>
      <w:pPr>
        <w:jc w:val="both"/>
        <w:ind w:left="620" w:hanging="307"/>
        <w:spacing w:after="0" w:line="262"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4"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71" w:lineRule="exact"/>
        <w:rPr>
          <w:rFonts w:ascii="Arial" w:cs="Arial" w:eastAsia="Arial" w:hAnsi="Arial"/>
          <w:sz w:val="17"/>
          <w:szCs w:val="17"/>
          <w:color w:val="auto"/>
        </w:rPr>
      </w:pPr>
    </w:p>
    <w:p>
      <w:pPr>
        <w:jc w:val="both"/>
        <w:ind w:left="620" w:hanging="307"/>
        <w:spacing w:after="0" w:line="257"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1" w:lineRule="exact"/>
        <w:rPr>
          <w:rFonts w:ascii="Arial" w:cs="Arial" w:eastAsia="Arial" w:hAnsi="Arial"/>
          <w:sz w:val="17"/>
          <w:szCs w:val="17"/>
          <w:color w:val="auto"/>
        </w:rPr>
      </w:pPr>
    </w:p>
    <w:p>
      <w:pPr>
        <w:ind w:left="620" w:right="280" w:hanging="307"/>
        <w:spacing w:after="0" w:line="281" w:lineRule="auto"/>
        <w:tabs>
          <w:tab w:leader="none" w:pos="61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61" w:lineRule="exact"/>
        <w:rPr>
          <w:rFonts w:ascii="Arial" w:cs="Arial" w:eastAsia="Arial" w:hAnsi="Arial"/>
          <w:sz w:val="16"/>
          <w:szCs w:val="16"/>
          <w:color w:val="auto"/>
        </w:rPr>
      </w:pPr>
    </w:p>
    <w:p>
      <w:pPr>
        <w:jc w:val="both"/>
        <w:ind w:left="620" w:hanging="307"/>
        <w:spacing w:after="0" w:line="25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spacing w:after="0" w:line="79"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Bankruptcy Code, which limits the extent to which creditors may seek to enforce debts against parties who have filed for bankruptcy protection;</w:t>
      </w:r>
    </w:p>
    <w:p>
      <w:pPr>
        <w:spacing w:after="0" w:line="125" w:lineRule="exact"/>
        <w:rPr>
          <w:rFonts w:ascii="Arial" w:cs="Arial" w:eastAsia="Arial" w:hAnsi="Arial"/>
          <w:sz w:val="16"/>
          <w:szCs w:val="16"/>
          <w:color w:val="auto"/>
        </w:rPr>
      </w:pPr>
    </w:p>
    <w:p>
      <w:pPr>
        <w:jc w:val="both"/>
        <w:ind w:left="620" w:hanging="307"/>
        <w:spacing w:after="0" w:line="266"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620" w:hanging="307"/>
        <w:spacing w:after="0" w:line="262"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7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7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61" w:lineRule="exact"/>
        <w:rPr>
          <w:rFonts w:ascii="Arial" w:cs="Arial" w:eastAsia="Arial" w:hAnsi="Arial"/>
          <w:sz w:val="17"/>
          <w:szCs w:val="17"/>
          <w:color w:val="auto"/>
        </w:rPr>
      </w:pPr>
    </w:p>
    <w:p>
      <w:pPr>
        <w:jc w:val="both"/>
        <w:ind w:left="620" w:hanging="307"/>
        <w:spacing w:after="0" w:line="290" w:lineRule="auto"/>
        <w:tabs>
          <w:tab w:leader="none" w:pos="6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54"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Right to Financial Privacy Act and similar state laws enacted to provide the financial records of financial institution customers a reasonable amount of privacy from government scrutiny;</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Bank Secrecy Act and the USA PATRIOT Act, which relate to compliance with anti-money laundering, borrower due diligence and record-keeping policies and procedures;</w:t>
      </w:r>
    </w:p>
    <w:p>
      <w:pPr>
        <w:spacing w:after="0" w:line="6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4"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state-specific and local laws and regulations.</w:t>
      </w:r>
    </w:p>
    <w:p>
      <w:pPr>
        <w:spacing w:after="0" w:line="243"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lending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and APRs on loans similar to the loans made on our platform. For example, in March 2021, Illinois enacted a law to cap interest rates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spacing w:after="0" w:line="18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Internet-based loan origination processes may give rise to greater risks than paper-based processes and may not always be allowed under state law.</w:t>
      </w:r>
    </w:p>
    <w:p>
      <w:pPr>
        <w:spacing w:after="0" w:line="27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For auto loans issued through our auto lending marketplace,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through our auto lending marketplace.</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found to be operating without having obtained necessary state or local licenses, our business, financial condition and results of operations could be adversely affected.</w:t>
      </w:r>
    </w:p>
    <w:p>
      <w:pPr>
        <w:spacing w:after="0" w:line="18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such licensing requirements to cover loan servicing and the transmission of funds to investors.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platform could be rendered void or unenforceable in whole or in part, any of which could have a material adverse effect on our business.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83"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supervises banks, thrifts and credit unions with assets over $10 billion and examines certain of our lending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76"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7"/>
          <w:szCs w:val="17"/>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In April 2022, the CFPB announced that it intends to examine nonbank financial companies that pose risks to consumers. If the CFPB decides to subject us to its supervisory process, it could significantly increase the level of regulatory scrutiny of our business practices. See the risk factor titled “—Our business is subject to a wide range of laws and regulations, many of which are evolving, and failure or perceived failure to comply with such laws and regulations could harm our business, financial condition and results of operations” for more information.</w:t>
      </w:r>
    </w:p>
    <w:p>
      <w:pPr>
        <w:spacing w:after="0" w:line="21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6"/>
          <w:szCs w:val="16"/>
          <w:color w:val="auto"/>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See the risk factor titled “—Our reputation and brand are important to our success, and if we are unable to continue developing our reputation and brand, our ability to retain existing and attract new bank partners, our ability to attract borrowers to our platform, our ability to maintain a diverse funding marketplace and our ability to maintain and improve our relationship with regulators of our industry could be adversely affected” for more information. The CFPB could also implement rules that restrict our effectiveness in servicing our financial products and services.</w:t>
      </w:r>
    </w:p>
    <w:p>
      <w:pPr>
        <w:spacing w:after="0" w:line="19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alternative variables and machine learning, an area of law where regulatory guidance is currently uncertain and still evolving, and for which there are not well-established regulatory norms for establishing compliance.</w:t>
      </w:r>
    </w:p>
    <w:p>
      <w:pPr>
        <w:spacing w:after="0" w:line="19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current presidential administration has appointed and is expected to continue to appoint consumer-oriented regulators at federal agencies such as the CFPB, Federal Trade Commission, the OCC and the FDIC and the government’s focus on enforcement of federal consumer protection laws is expected to increase. It is possible that these regulators could promulgate rulemakings and bring enforcement actions that materially impact our business and the business of our lending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1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been in the past and may in the future be subject to federal and state regulatory inquiries regarding our business.</w:t>
      </w:r>
    </w:p>
    <w:p>
      <w:pPr>
        <w:spacing w:after="0" w:line="249"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 loans for our lending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were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Upon Upstart’s request, such no-action letter was terminated in June 2022. While the termination of the no-action letter removes the obligation to regularly share updates with the CFPB,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spacing w:after="0" w:line="185"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federal inquiries we receive could be material to our business, results of operations, financial condition and cash flows and could have a material adverse effect on our business, financial condition or results of operations.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6"/>
          <w:szCs w:val="16"/>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in our loan funding programs.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w:t>
      </w:r>
    </w:p>
    <w:p>
      <w:pPr>
        <w:spacing w:after="0" w:line="19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beginning July 1, 2023. Following the enactment of the CCPA, in March 2021, Virginia enacted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Virginia Consumer Data Protection Act of 2021, or VCDPA; in June 2021 Colorado enacted the Colorado Privacy Act, or CPA; in March 2022, Utah, enacted the Utah Consumer Privacy Act, or UCPA; in May 2022, Connecticut enacted a similar law, An Act Concerning Personal Data Privacy and Online Monitoring, or CTDPA; and in March 2023, Iowa enacted an Act Relating to Consumer Data Protection, or ICDPA. The VCDPA went into effect on January 1, 2023, and the CPA and CTDPA both go into effect on July 31, 2023. The UCPA will go into effect December 31, 2023. The ICDPA will go into effect January 1, 2025. Additionally, other U.S. states are proposing and enacting laws and regulations that impose obligations similar to the CCPA or that otherwise involve significant obligations and restrictions.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Many privacy and data security laws, such as the CCPA, apply to biometric data. However, some states have passed or are considering legislation that are biometric specific. For instance, in Illinois, the Biometric Information Privacy Act (“BIPA”) specifically governs the collection, possession, and disclosure of biometric 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spacing w:after="0" w:line="20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As the regulatory framework for artificial intelligence and machine learning technology evolves, our business, financial condition and results of operations may be adversely affected.</w:t>
      </w:r>
    </w:p>
    <w:p>
      <w:pPr>
        <w:spacing w:after="0" w:line="18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For example, on March 29, 2021, the federal financial regulators issued a request for information to enable them to better understand how artificial intelligence and machine learning are utilized in financial services, and the information and views obtained could serve as a basis for future regulations.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Company Act, our ability to conduct business could be materially adversely affected.</w:t>
      </w:r>
    </w:p>
    <w:p>
      <w:pPr>
        <w:spacing w:after="0" w:line="249"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lending partners.</w:t>
      </w:r>
    </w:p>
    <w:p>
      <w:pPr>
        <w:spacing w:after="0" w:line="201"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If the exemptive order ceases to apply to our business, and we are not able to rely on other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Advisers Act, our ability to conduct business could be materially adversely affected.</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spacing w:after="0" w:line="20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If our transactions with institutional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Certain transactions in our loan funding programs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required to register with the SEC or under state securities laws as a broker-dealer, our ability to conduct business could be materially adversely affected.</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anti-terrorism financing, anti-corruption and economic sanctions laws could have adverse consequences for us.</w:t>
      </w:r>
    </w:p>
    <w:p>
      <w:pPr>
        <w:spacing w:after="0" w:line="24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securitizations are subject to regulation under federal law, and failure to comply with those laws could adversely affect our business.</w:t>
      </w:r>
    </w:p>
    <w:p>
      <w:pPr>
        <w:spacing w:after="0" w:line="24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19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196"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RISKS RELATED TO INDEBTEDNESS</w:t>
      </w:r>
    </w:p>
    <w:p>
      <w:pPr>
        <w:spacing w:after="0" w:line="243"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We rely on borrowings under our warehouse credit facilities to fund certain aspects of our operations, and any inability to meet our obligations as they come due or to comply with various covenants or representations contained in our warehouse credit facilities could harm our business.</w:t>
      </w:r>
    </w:p>
    <w:p>
      <w:pPr>
        <w:spacing w:after="0" w:line="16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We, through our warehouse trust special purpose entities, have entered into warehouse credit facilities to partially finance the purchase of loans from certain lending partners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may stay on our balance sheet indefinitely, including some loans that are the result of product development activities.</w:t>
      </w:r>
    </w:p>
    <w:p>
      <w:pPr>
        <w:spacing w:after="0" w:line="24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Under our warehouse credit facility for unsecured personal loans (the “ULT Warehouse Credit Facility”), we may borrow from an aggregate of $175.0 million financing capacity, of which $100.0 million is committed and $75.0 million is uncommitted, until the earlier of June 15, 2023 and an accelerated amortization event. Any outstanding principal, together with any accrued and unpaid interest, are due and payable by the warehouse trust special purpose entity in June 2024. As of March 31, 2023, the amount borrowed under the ULT Warehouse Credit Facility was $151.7 million, and $210.4 million of aggregated fair value of loans purchased were pledged as collateral. Under our warehouse facility for auto loans (the “UAWT Warehouse Credit Facility”), we may borrow up to $200 million until June 14, 2024, and any outstanding principal, together with any accrued and unpaid interest, are due and payable by the warehouse trust special purpose entity twelve months after the determined amortization date. As of March 31, 2023, the amount borrowed under the UAWT Warehouse Credit Facility was $198.4 million, and $298.2 million of aggregated fair value of loans purchased were pledged as collateral.</w:t>
      </w:r>
    </w:p>
    <w:p>
      <w:pPr>
        <w:spacing w:after="0" w:line="19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warehouse credit facilities impose operating and financial covenants on the applicable warehouse trust special purpose entity, and under certain events of default, the applicable lender could require that all or a portion of 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lending partners’ ability or willingness to originate new loans, which in turn would have an adverse effect on our business, results of operations and financial condition.</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8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loan liquidity to our lending partners and whole loan purchasers. As a result, our lack of parent debt rating and any further downgrades to the ratings of our asset-backed securities could negatively impact our business, financial condition and results of operations.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may continue to make investments to support our business growth and may require additional funds to respond to business challenges, including the need to develop new loan products, enhance our AI models, improve our operating infrastructure, acquire complementary businesses and technologies, or make strategic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spacing w:after="0" w:line="201"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color w:val="auto"/>
        </w:rPr>
        <w:t>In addition, in August 2021, we issued $661.3 million aggregate principal amount of 0.25% convertible senior notes due 2026, or Notes (including the exercise in full of the initial purchasers’ option to purchase an additional $86.3 million aggregate principal of additional Notes). Holders of the Notes may require us to purchase all or a portion of their Notes upon the occurrence of a fundamental change before the maturity date at a 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surrendered therefor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or pay cash with respect to Notes being converted or at maturity of the Notes.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in the indenture for the Notes may deter or prevent a business combination that may be favorable to you.</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RISKS RELATED TO TAXES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ability to use our deferred tax assets to offset future taxable income may be subject to certain limitations, which may have a material impact on our result of operations.</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March 31, 2023, a valuation allowance has been recorded to recognize only deferred tax assets that are more likely than not to be realized in the United States federal and state tax jurisdictions. Our net deferred tax assets are primarily related to net operating loss carryforwards, or NOLs. We assess the available positive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19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law.</w:t>
      </w:r>
    </w:p>
    <w:p>
      <w:pPr>
        <w:spacing w:after="0" w:line="19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tax laws could have a material adverse effect on our business, financial condition and results of operations.</w:t>
      </w:r>
    </w:p>
    <w:p>
      <w:pPr>
        <w:spacing w:after="0" w:line="23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effective as of January 1, 2022, the Tax Cuts and Jobs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19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27"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trading price of our common stock may be volatile, and you could lose all or part of your investment.</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72" w:lineRule="exact"/>
        <w:rPr>
          <w:sz w:val="20"/>
          <w:szCs w:val="20"/>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financial technology stocks;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reduction in the availability of loan funding and liquidity from institutional investors and the capital markets;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quarterly fluctuations in demand for the loans we facilitate through our platform;</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financial technology companies and technology companies that offer services to financial institutions;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issuance of shares of our common stock, whether in connection with an acquisition or upon conversion of some or all of the outstanding Notes;</w:t>
      </w:r>
    </w:p>
    <w:p>
      <w:pPr>
        <w:spacing w:after="0" w:line="125"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prevailing interest rates;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compliance with government policies or regulations;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issuance of any cease-and-desist orders from regulatory agencies that we are subject to;</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market perception of the accuracy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actual or perceived data security breaches or other data security incidents;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development relating to our reductions in workforce announced in November 2022 and January 2023;</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political unrest, natural disasters, pandemics or responses to these events; and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general economic conditions, including economic slowdowns, recessions, rising interest and inflation rates, tightening of credit markets and the 2023 bank failures and resulting disruption in the banking sector.</w:t>
      </w:r>
    </w:p>
    <w:p>
      <w:pPr>
        <w:spacing w:after="0" w:line="19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189" w:lineRule="exact"/>
        <w:rPr>
          <w:sz w:val="20"/>
          <w:szCs w:val="20"/>
          <w:color w:val="auto"/>
        </w:rPr>
      </w:pPr>
    </w:p>
    <w:p>
      <w:pPr>
        <w:ind w:right="800"/>
        <w:spacing w:after="0" w:line="320" w:lineRule="auto"/>
        <w:rPr>
          <w:sz w:val="20"/>
          <w:szCs w:val="20"/>
          <w:color w:val="auto"/>
        </w:rPr>
      </w:pPr>
      <w:r>
        <w:rPr>
          <w:rFonts w:ascii="Arial" w:cs="Arial" w:eastAsia="Arial" w:hAnsi="Arial"/>
          <w:sz w:val="16"/>
          <w:szCs w:val="16"/>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capped call transactions may affect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intended to offset the potential dilution and/or offset any cash payments we make in excess of the aggregate principal amount of converted Notes, as the case may be, as a result of conversion of the Notes.</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or following any repurchase of the Notes). This activity could also cause or prevent an increase or a decrease in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insiders have significant voting power, which could limit your ability to influence the outcome of key transactions, including a change of control.</w:t>
      </w:r>
    </w:p>
    <w:p>
      <w:pPr>
        <w:spacing w:after="0" w:line="27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large number of shares of our capital stock eligible for public sale or subject to rights requiring us to register them for public sale could depress the market price of our common stock.</w:t>
      </w:r>
    </w:p>
    <w:p>
      <w:pPr>
        <w:spacing w:after="0" w:line="18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common stock does not provide any rights directly related to the loans we hold.</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be diluted by the future issuance of additional common stock in connection with our equity incentive plans, acquisitions or otherwise.</w:t>
      </w:r>
    </w:p>
    <w:p>
      <w:pPr>
        <w:spacing w:after="0" w:line="26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Our amended and restated certificate of incorporation authorizes us to issue 618,740,324 shares of authorized but unissued common stock and rights relating to common stock for the consideration and on the terms and conditions established by our Board of Directors in its sole discretion, whether in connection with acquisitions or otherwise. We have reserved 6,004,507 shares for issuance under our 2020 Equity Incentive Plan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color w:val="auto"/>
        </w:rPr>
        <w:t>We have implemented “sell-to-cover” in which shares of our common stock are sold into the market on behalf of RSU holders upon vesting of RSUs to cover tax withholding liabilities and such sales will result in dilution to our stockholders.</w:t>
      </w:r>
    </w:p>
    <w:p>
      <w:pPr>
        <w:spacing w:after="0" w:line="1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Under U.S. tax laws, employment tax withholding and remittance obligations for restricted stock units, 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will be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but do cause dilution to our stockholders and, to the extent a large number of shares are sold in connection with any vesting event, such sales volume may cause our price to fluctuate.</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80" w:lineRule="exact"/>
        <w:rPr>
          <w:sz w:val="20"/>
          <w:szCs w:val="20"/>
          <w:color w:val="auto"/>
        </w:rPr>
      </w:pPr>
    </w:p>
    <w:p>
      <w:pPr>
        <w:ind w:left="62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vacancies and newly-created seats on our Board of Directors will be able to be filled only by our Board of Directors and not by stockholders;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only the Chair of our Board of Directors, our Chief Executive Officer, our president, or a majority of our entire Board of Directors are authorized to call a special meeting of stockholders;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litigation against us or our directors, stockholders, officers or employees can only be brought in Delaware;</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 and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82"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18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common stock market price and trading volume could decline if equity or industry analysts do not publish research or publish inaccurate or unfavorable research about our business.</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requirements of being a public company may strain our resources, divert management’s attention and affect our ability to attract and retain qualified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management team has limited experience managing a public company.</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do not intend to pay dividends for the foreseeable future.</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repurchases of the Company’s common stock during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right"/>
        <w:ind w:right="3699"/>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DEFAULTS UPON SENIOR SECURITIES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b w:val="1"/>
          <w:bCs w:val="1"/>
          <w:color w:val="auto"/>
        </w:rPr>
        <w:t>ITEM 6. EXHIBITS</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exhibits listed below are filed as part of this Quarterly Report on Form 10-Q or are incorporated herein by reference, in each case as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12529"/>
        </w:rPr>
        <w:t>EXHIBIT INDEX</w:t>
      </w:r>
    </w:p>
    <w:p>
      <w:pPr>
        <w:spacing w:after="0" w:line="294" w:lineRule="exact"/>
        <w:rPr>
          <w:sz w:val="20"/>
          <w:szCs w:val="20"/>
          <w:color w:val="auto"/>
        </w:rPr>
      </w:pPr>
    </w:p>
    <w:p>
      <w:pPr>
        <w:ind w:left="7980"/>
        <w:spacing w:after="0"/>
        <w:rPr>
          <w:sz w:val="20"/>
          <w:szCs w:val="20"/>
          <w:color w:val="auto"/>
        </w:rPr>
      </w:pPr>
      <w:r>
        <w:rPr>
          <w:rFonts w:ascii="Arial" w:cs="Arial" w:eastAsia="Arial" w:hAnsi="Arial"/>
          <w:sz w:val="17"/>
          <w:szCs w:val="17"/>
          <w:b w:val="1"/>
          <w:bCs w:val="1"/>
          <w:color w:val="auto"/>
        </w:rPr>
        <w:t>Incorporated by Reference</w:t>
      </w:r>
    </w:p>
    <w:p>
      <w:pPr>
        <w:sectPr>
          <w:pgSz w:w="11900" w:h="16838" w:orient="portrait"/>
          <w:cols w:equalWidth="0" w:num="1">
            <w:col w:w="11240"/>
          </w:cols>
          <w:pgMar w:left="320" w:top="1200" w:right="339" w:bottom="1440" w:gutter="0" w:footer="0" w:header="0"/>
        </w:sectPr>
      </w:pPr>
    </w:p>
    <w:p>
      <w:pPr>
        <w:spacing w:after="0" w:line="29"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Exhibit</w:t>
      </w:r>
    </w:p>
    <w:p>
      <w:pPr>
        <w:jc w:val="right"/>
        <w:spacing w:after="0"/>
        <w:rPr>
          <w:sz w:val="20"/>
          <w:szCs w:val="20"/>
          <w:color w:val="auto"/>
        </w:rPr>
      </w:pPr>
      <w:r>
        <w:rPr>
          <w:rFonts w:ascii="Arial" w:cs="Arial" w:eastAsia="Arial" w:hAnsi="Arial"/>
          <w:sz w:val="17"/>
          <w:szCs w:val="17"/>
          <w:b w:val="1"/>
          <w:bCs w:val="1"/>
          <w:color w:val="auto"/>
        </w:rPr>
        <w:t>Number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left="1800"/>
        <w:spacing w:after="0"/>
        <w:tabs>
          <w:tab w:leader="none" w:pos="4760" w:val="left"/>
          <w:tab w:leader="none" w:pos="5880" w:val="left"/>
          <w:tab w:leader="none" w:pos="7120" w:val="left"/>
          <w:tab w:leader="none" w:pos="8580" w:val="left"/>
        </w:tabs>
        <w:rPr>
          <w:sz w:val="20"/>
          <w:szCs w:val="20"/>
          <w:color w:val="auto"/>
        </w:rPr>
      </w:pPr>
      <w:r>
        <w:rPr>
          <w:rFonts w:ascii="Arial" w:cs="Arial" w:eastAsia="Arial" w:hAnsi="Arial"/>
          <w:sz w:val="17"/>
          <w:szCs w:val="17"/>
          <w:b w:val="1"/>
          <w:bCs w:val="1"/>
          <w:color w:val="auto"/>
        </w:rPr>
        <w:t>Description</w:t>
      </w:r>
      <w:r>
        <w:rPr>
          <w:sz w:val="20"/>
          <w:szCs w:val="20"/>
          <w:color w:val="auto"/>
        </w:rPr>
        <w:tab/>
      </w:r>
      <w:r>
        <w:rPr>
          <w:rFonts w:ascii="Arial" w:cs="Arial" w:eastAsia="Arial" w:hAnsi="Arial"/>
          <w:sz w:val="17"/>
          <w:szCs w:val="17"/>
          <w:b w:val="1"/>
          <w:bCs w:val="1"/>
          <w:color w:val="auto"/>
        </w:rPr>
        <w:t>Form</w:t>
      </w:r>
      <w:r>
        <w:rPr>
          <w:sz w:val="20"/>
          <w:szCs w:val="20"/>
          <w:color w:val="auto"/>
        </w:rPr>
        <w:tab/>
      </w:r>
      <w:r>
        <w:rPr>
          <w:rFonts w:ascii="Arial" w:cs="Arial" w:eastAsia="Arial" w:hAnsi="Arial"/>
          <w:sz w:val="17"/>
          <w:szCs w:val="17"/>
          <w:b w:val="1"/>
          <w:bCs w:val="1"/>
          <w:color w:val="auto"/>
        </w:rPr>
        <w:t>File No.</w:t>
      </w:r>
      <w:r>
        <w:rPr>
          <w:sz w:val="20"/>
          <w:szCs w:val="20"/>
          <w:color w:val="auto"/>
        </w:rPr>
        <w:tab/>
      </w:r>
      <w:r>
        <w:rPr>
          <w:rFonts w:ascii="Arial" w:cs="Arial" w:eastAsia="Arial" w:hAnsi="Arial"/>
          <w:sz w:val="17"/>
          <w:szCs w:val="17"/>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18415</wp:posOffset>
            </wp:positionV>
            <wp:extent cx="7138670" cy="417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670" cy="417195"/>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-234315</wp:posOffset>
            </wp:positionV>
            <wp:extent cx="28816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Certification of Principal Executive Officer pursuant to</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Exchange Act Rules 13a-14(a) and 15d-14(a), as adopted</w:t>
      </w:r>
    </w:p>
    <w:p>
      <w:pPr>
        <w:spacing w:after="0"/>
        <w:rPr>
          <w:sz w:val="20"/>
          <w:szCs w:val="20"/>
          <w:color w:val="auto"/>
        </w:rPr>
      </w:pPr>
      <w:r>
        <w:rPr>
          <w:rFonts w:ascii="Arial" w:cs="Arial" w:eastAsia="Arial" w:hAnsi="Arial"/>
          <w:sz w:val="17"/>
          <w:szCs w:val="17"/>
          <w:u w:val="single" w:color="auto"/>
          <w:color w:val="0000FF"/>
        </w:rPr>
        <w:t>pursuant to Section 302 of the Sarbanes-Oxley Act of 2002.</w:t>
      </w:r>
    </w:p>
    <w:p>
      <w:pPr>
        <w:spacing w:after="0" w:line="33" w:lineRule="exact"/>
        <w:rPr>
          <w:sz w:val="20"/>
          <w:szCs w:val="20"/>
          <w:color w:val="auto"/>
        </w:rPr>
      </w:pPr>
    </w:p>
    <w:p>
      <w:pPr>
        <w:sectPr>
          <w:pgSz w:w="11900" w:h="16838" w:orient="portrait"/>
          <w:cols w:equalWidth="0" w:num="2">
            <w:col w:w="860" w:space="340"/>
            <w:col w:w="10040"/>
          </w:cols>
          <w:pgMar w:left="320" w:top="1200"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200" w:type="dxa"/>
            <w:vAlign w:val="bottom"/>
          </w:tcPr>
          <w:p>
            <w:pPr>
              <w:ind w:left="20"/>
              <w:spacing w:after="0"/>
              <w:rPr>
                <w:sz w:val="20"/>
                <w:szCs w:val="20"/>
                <w:color w:val="auto"/>
              </w:rPr>
            </w:pPr>
            <w:r>
              <w:rPr>
                <w:rFonts w:ascii="Arial" w:cs="Arial" w:eastAsia="Arial" w:hAnsi="Arial"/>
                <w:sz w:val="17"/>
                <w:szCs w:val="17"/>
                <w:color w:val="auto"/>
              </w:rPr>
              <w:t>31.2*</w:t>
            </w:r>
          </w:p>
        </w:tc>
        <w:tc>
          <w:tcPr>
            <w:tcW w:w="10040" w:type="dxa"/>
            <w:vAlign w:val="bottom"/>
            <w:gridSpan w:val="6"/>
          </w:tcPr>
          <w:p>
            <w:pPr>
              <w:spacing w:after="0"/>
              <w:rPr>
                <w:sz w:val="20"/>
                <w:szCs w:val="20"/>
                <w:color w:val="auto"/>
              </w:rPr>
            </w:pPr>
            <w:r>
              <w:rPr>
                <w:rFonts w:ascii="Arial" w:cs="Arial" w:eastAsia="Arial" w:hAnsi="Arial"/>
                <w:sz w:val="17"/>
                <w:szCs w:val="17"/>
                <w:color w:val="0000FF"/>
              </w:rPr>
              <w:t>Certification of Principal Financial Officer pursuant to</w:t>
            </w:r>
          </w:p>
        </w:tc>
      </w:tr>
      <w:tr>
        <w:trPr>
          <w:trHeight w:val="20"/>
        </w:trPr>
        <w:tc>
          <w:tcPr>
            <w:tcW w:w="12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73"/>
        </w:trPr>
        <w:tc>
          <w:tcPr>
            <w:tcW w:w="1200" w:type="dxa"/>
            <w:vAlign w:val="bottom"/>
          </w:tcPr>
          <w:p>
            <w:pPr>
              <w:spacing w:after="0"/>
              <w:rPr>
                <w:sz w:val="15"/>
                <w:szCs w:val="15"/>
                <w:color w:val="auto"/>
              </w:rPr>
            </w:pPr>
          </w:p>
        </w:tc>
        <w:tc>
          <w:tcPr>
            <w:tcW w:w="3940" w:type="dxa"/>
            <w:vAlign w:val="bottom"/>
            <w:tcBorders>
              <w:bottom w:val="single" w:sz="8" w:color="0000FF"/>
            </w:tcBorders>
            <w:gridSpan w:val="2"/>
          </w:tcPr>
          <w:p>
            <w:pPr>
              <w:spacing w:after="0" w:line="173" w:lineRule="exact"/>
              <w:rPr>
                <w:sz w:val="20"/>
                <w:szCs w:val="20"/>
                <w:color w:val="auto"/>
              </w:rPr>
            </w:pPr>
            <w:r>
              <w:rPr>
                <w:rFonts w:ascii="Arial" w:cs="Arial" w:eastAsia="Arial" w:hAnsi="Arial"/>
                <w:sz w:val="17"/>
                <w:szCs w:val="17"/>
                <w:color w:val="0000FF"/>
                <w:w w:val="89"/>
              </w:rPr>
              <w:t>Exchange Act Rules 13a-14(a) and 15d-14(a), as adopted</w:t>
            </w:r>
          </w:p>
        </w:tc>
        <w:tc>
          <w:tcPr>
            <w:tcW w:w="6100" w:type="dxa"/>
            <w:vAlign w:val="bottom"/>
            <w:gridSpan w:val="4"/>
          </w:tcPr>
          <w:p>
            <w:pPr>
              <w:spacing w:after="0"/>
              <w:rPr>
                <w:sz w:val="15"/>
                <w:szCs w:val="15"/>
                <w:color w:val="auto"/>
              </w:rPr>
            </w:pPr>
          </w:p>
        </w:tc>
      </w:tr>
      <w:tr>
        <w:trPr>
          <w:trHeight w:val="173"/>
        </w:trPr>
        <w:tc>
          <w:tcPr>
            <w:tcW w:w="1200" w:type="dxa"/>
            <w:vAlign w:val="bottom"/>
          </w:tcPr>
          <w:p>
            <w:pPr>
              <w:spacing w:after="0"/>
              <w:rPr>
                <w:sz w:val="15"/>
                <w:szCs w:val="15"/>
                <w:color w:val="auto"/>
              </w:rPr>
            </w:pPr>
          </w:p>
        </w:tc>
        <w:tc>
          <w:tcPr>
            <w:tcW w:w="10040" w:type="dxa"/>
            <w:vAlign w:val="bottom"/>
            <w:gridSpan w:val="6"/>
          </w:tcPr>
          <w:p>
            <w:pPr>
              <w:spacing w:after="0" w:line="173" w:lineRule="exact"/>
              <w:rPr>
                <w:sz w:val="20"/>
                <w:szCs w:val="20"/>
                <w:color w:val="auto"/>
              </w:rPr>
            </w:pPr>
            <w:r>
              <w:rPr>
                <w:rFonts w:ascii="Arial" w:cs="Arial" w:eastAsia="Arial" w:hAnsi="Arial"/>
                <w:sz w:val="17"/>
                <w:szCs w:val="17"/>
                <w:color w:val="0000FF"/>
              </w:rPr>
              <w:t>pursuant to Section 302 of the Sarbanes-Oxley Act of 2002.</w:t>
            </w:r>
          </w:p>
        </w:tc>
      </w:tr>
      <w:tr>
        <w:trPr>
          <w:trHeight w:val="44"/>
        </w:trPr>
        <w:tc>
          <w:tcPr>
            <w:tcW w:w="1200" w:type="dxa"/>
            <w:vAlign w:val="bottom"/>
          </w:tcPr>
          <w:p>
            <w:pPr>
              <w:spacing w:after="0"/>
              <w:rPr>
                <w:sz w:val="3"/>
                <w:szCs w:val="3"/>
                <w:color w:val="auto"/>
              </w:rPr>
            </w:pPr>
          </w:p>
        </w:tc>
        <w:tc>
          <w:tcPr>
            <w:tcW w:w="37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20" w:type="dxa"/>
            <w:vAlign w:val="bottom"/>
          </w:tcPr>
          <w:p>
            <w:pPr>
              <w:spacing w:after="0"/>
              <w:rPr>
                <w:sz w:val="3"/>
                <w:szCs w:val="3"/>
                <w:color w:val="auto"/>
              </w:rPr>
            </w:pPr>
          </w:p>
        </w:tc>
        <w:tc>
          <w:tcPr>
            <w:tcW w:w="5620" w:type="dxa"/>
            <w:vAlign w:val="bottom"/>
          </w:tcPr>
          <w:p>
            <w:pPr>
              <w:spacing w:after="0"/>
              <w:rPr>
                <w:sz w:val="3"/>
                <w:szCs w:val="3"/>
                <w:color w:val="auto"/>
              </w:rPr>
            </w:pPr>
          </w:p>
        </w:tc>
      </w:tr>
      <w:tr>
        <w:trPr>
          <w:trHeight w:val="180"/>
        </w:trPr>
        <w:tc>
          <w:tcPr>
            <w:tcW w:w="120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32.1*#</w:t>
            </w:r>
          </w:p>
        </w:tc>
        <w:tc>
          <w:tcPr>
            <w:tcW w:w="10040" w:type="dxa"/>
            <w:vAlign w:val="bottom"/>
            <w:gridSpan w:val="6"/>
            <w:shd w:val="clear" w:color="auto" w:fill="CCEEFF"/>
          </w:tcPr>
          <w:p>
            <w:pPr>
              <w:spacing w:after="0" w:line="180" w:lineRule="exact"/>
              <w:rPr>
                <w:sz w:val="20"/>
                <w:szCs w:val="20"/>
                <w:color w:val="auto"/>
              </w:rPr>
            </w:pPr>
            <w:r>
              <w:rPr>
                <w:rFonts w:ascii="Arial" w:cs="Arial" w:eastAsia="Arial" w:hAnsi="Arial"/>
                <w:sz w:val="17"/>
                <w:szCs w:val="17"/>
                <w:color w:val="0000FF"/>
              </w:rPr>
              <w:t>Certifications of Principal Executive Officer and Principal</w:t>
            </w: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4000" w:type="dxa"/>
            <w:vAlign w:val="bottom"/>
            <w:tcBorders>
              <w:top w:val="single" w:sz="8" w:color="0000FF"/>
            </w:tcBorders>
            <w:gridSpan w:val="3"/>
            <w:shd w:val="clear" w:color="auto" w:fill="CCEEFF"/>
          </w:tcPr>
          <w:p>
            <w:pPr>
              <w:spacing w:after="0" w:line="148" w:lineRule="exact"/>
              <w:rPr>
                <w:sz w:val="20"/>
                <w:szCs w:val="20"/>
                <w:color w:val="auto"/>
              </w:rPr>
            </w:pPr>
            <w:r>
              <w:rPr>
                <w:rFonts w:ascii="Arial" w:cs="Arial" w:eastAsia="Arial" w:hAnsi="Arial"/>
                <w:sz w:val="17"/>
                <w:szCs w:val="17"/>
                <w:color w:val="0000FF"/>
                <w:w w:val="95"/>
              </w:rPr>
              <w:t>Financial Officer pursuant to 18 U.S.C. Section 1350 as</w:t>
            </w:r>
          </w:p>
        </w:tc>
        <w:tc>
          <w:tcPr>
            <w:tcW w:w="6040" w:type="dxa"/>
            <w:vAlign w:val="bottom"/>
            <w:tcBorders>
              <w:top w:val="single" w:sz="8" w:color="CCEEFF"/>
            </w:tcBorders>
            <w:gridSpan w:val="3"/>
            <w:shd w:val="clear" w:color="auto" w:fill="CCEEFF"/>
          </w:tcPr>
          <w:p>
            <w:pPr>
              <w:spacing w:after="0" w:line="148" w:lineRule="exact"/>
              <w:rPr>
                <w:sz w:val="20"/>
                <w:szCs w:val="20"/>
                <w:color w:val="auto"/>
              </w:rPr>
            </w:pPr>
            <w:r>
              <w:rPr>
                <w:rFonts w:ascii="Arial" w:cs="Arial" w:eastAsia="Arial" w:hAnsi="Arial"/>
                <w:sz w:val="17"/>
                <w:szCs w:val="17"/>
                <w:color w:val="0000FF"/>
              </w:rPr>
              <w:t>adopted</w:t>
            </w:r>
          </w:p>
        </w:tc>
      </w:tr>
      <w:tr>
        <w:trPr>
          <w:trHeight w:val="179"/>
        </w:trPr>
        <w:tc>
          <w:tcPr>
            <w:tcW w:w="1200" w:type="dxa"/>
            <w:vAlign w:val="bottom"/>
            <w:tcBorders>
              <w:top w:val="single" w:sz="8" w:color="CCEEFF"/>
            </w:tcBorders>
            <w:shd w:val="clear" w:color="auto" w:fill="CCEEFF"/>
          </w:tcPr>
          <w:p>
            <w:pPr>
              <w:spacing w:after="0"/>
              <w:rPr>
                <w:sz w:val="15"/>
                <w:szCs w:val="15"/>
                <w:color w:val="auto"/>
              </w:rPr>
            </w:pPr>
          </w:p>
        </w:tc>
        <w:tc>
          <w:tcPr>
            <w:tcW w:w="4420" w:type="dxa"/>
            <w:vAlign w:val="bottom"/>
            <w:tcBorders>
              <w:top w:val="single" w:sz="8" w:color="0000FF"/>
            </w:tcBorders>
            <w:gridSpan w:val="5"/>
            <w:shd w:val="clear" w:color="auto" w:fill="CCEEFF"/>
          </w:tcPr>
          <w:p>
            <w:pPr>
              <w:spacing w:after="0" w:line="148" w:lineRule="exact"/>
              <w:rPr>
                <w:sz w:val="20"/>
                <w:szCs w:val="20"/>
                <w:color w:val="auto"/>
              </w:rPr>
            </w:pPr>
            <w:r>
              <w:rPr>
                <w:rFonts w:ascii="Arial" w:cs="Arial" w:eastAsia="Arial" w:hAnsi="Arial"/>
                <w:sz w:val="17"/>
                <w:szCs w:val="17"/>
                <w:color w:val="0000FF"/>
                <w:w w:val="98"/>
              </w:rPr>
              <w:t>pursuant to Section 906 of the Sarbanes-Oxley Act of 2002.</w:t>
            </w:r>
          </w:p>
        </w:tc>
        <w:tc>
          <w:tcPr>
            <w:tcW w:w="5620" w:type="dxa"/>
            <w:vAlign w:val="bottom"/>
            <w:tcBorders>
              <w:top w:val="single" w:sz="8" w:color="CCEEFF"/>
            </w:tcBorders>
            <w:shd w:val="clear" w:color="auto" w:fill="CCEEFF"/>
          </w:tcPr>
          <w:p>
            <w:pPr>
              <w:spacing w:after="0"/>
              <w:rPr>
                <w:sz w:val="15"/>
                <w:szCs w:val="15"/>
                <w:color w:val="auto"/>
              </w:rPr>
            </w:pPr>
          </w:p>
        </w:tc>
      </w:tr>
      <w:tr>
        <w:trPr>
          <w:trHeight w:val="218"/>
        </w:trPr>
        <w:tc>
          <w:tcPr>
            <w:tcW w:w="120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101.INS*</w:t>
            </w:r>
          </w:p>
        </w:tc>
        <w:tc>
          <w:tcPr>
            <w:tcW w:w="410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Inline XBRL Instance Document</w:t>
            </w:r>
          </w:p>
        </w:tc>
        <w:tc>
          <w:tcPr>
            <w:tcW w:w="5940" w:type="dxa"/>
            <w:vAlign w:val="bottom"/>
            <w:tcBorders>
              <w:top w:val="single" w:sz="8" w:color="CCEEFF"/>
            </w:tcBorders>
            <w:gridSpan w:val="2"/>
          </w:tcPr>
          <w:p>
            <w:pPr>
              <w:spacing w:after="0"/>
              <w:rPr>
                <w:sz w:val="18"/>
                <w:szCs w:val="18"/>
                <w:color w:val="auto"/>
              </w:rPr>
            </w:pPr>
          </w:p>
        </w:tc>
      </w:tr>
      <w:tr>
        <w:trPr>
          <w:trHeight w:val="220"/>
        </w:trPr>
        <w:tc>
          <w:tcPr>
            <w:tcW w:w="1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1004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168"/>
        </w:trPr>
        <w:tc>
          <w:tcPr>
            <w:tcW w:w="1200" w:type="dxa"/>
            <w:vAlign w:val="bottom"/>
          </w:tcPr>
          <w:p>
            <w:pPr>
              <w:ind w:left="20"/>
              <w:spacing w:after="0" w:line="168" w:lineRule="exact"/>
              <w:rPr>
                <w:sz w:val="20"/>
                <w:szCs w:val="20"/>
                <w:color w:val="auto"/>
              </w:rPr>
            </w:pPr>
            <w:r>
              <w:rPr>
                <w:rFonts w:ascii="Arial" w:cs="Arial" w:eastAsia="Arial" w:hAnsi="Arial"/>
                <w:sz w:val="17"/>
                <w:szCs w:val="17"/>
                <w:color w:val="auto"/>
              </w:rPr>
              <w:t>101.CAL*</w:t>
            </w:r>
          </w:p>
        </w:tc>
        <w:tc>
          <w:tcPr>
            <w:tcW w:w="10040" w:type="dxa"/>
            <w:vAlign w:val="bottom"/>
            <w:gridSpan w:val="6"/>
          </w:tcPr>
          <w:p>
            <w:pPr>
              <w:spacing w:after="0" w:line="168" w:lineRule="exact"/>
              <w:rPr>
                <w:sz w:val="20"/>
                <w:szCs w:val="20"/>
                <w:color w:val="auto"/>
              </w:rPr>
            </w:pPr>
            <w:r>
              <w:rPr>
                <w:rFonts w:ascii="Arial" w:cs="Arial" w:eastAsia="Arial" w:hAnsi="Arial"/>
                <w:sz w:val="17"/>
                <w:szCs w:val="17"/>
                <w:color w:val="auto"/>
              </w:rPr>
              <w:t>Inline XBRL Taxonomy Extension Calculation Linkbase</w:t>
            </w:r>
          </w:p>
        </w:tc>
      </w:tr>
      <w:tr>
        <w:trPr>
          <w:trHeight w:val="224"/>
        </w:trPr>
        <w:tc>
          <w:tcPr>
            <w:tcW w:w="1200" w:type="dxa"/>
            <w:vAlign w:val="bottom"/>
          </w:tcPr>
          <w:p>
            <w:pPr>
              <w:spacing w:after="0"/>
              <w:rPr>
                <w:sz w:val="19"/>
                <w:szCs w:val="19"/>
                <w:color w:val="auto"/>
              </w:rPr>
            </w:pPr>
          </w:p>
        </w:tc>
        <w:tc>
          <w:tcPr>
            <w:tcW w:w="10040" w:type="dxa"/>
            <w:vAlign w:val="bottom"/>
            <w:gridSpan w:val="6"/>
          </w:tcPr>
          <w:p>
            <w:pPr>
              <w:spacing w:after="0"/>
              <w:rPr>
                <w:sz w:val="20"/>
                <w:szCs w:val="20"/>
                <w:color w:val="auto"/>
              </w:rPr>
            </w:pPr>
            <w:r>
              <w:rPr>
                <w:rFonts w:ascii="Arial" w:cs="Arial" w:eastAsia="Arial" w:hAnsi="Arial"/>
                <w:sz w:val="17"/>
                <w:szCs w:val="17"/>
                <w:color w:val="auto"/>
              </w:rPr>
              <w:t>Document</w:t>
            </w:r>
          </w:p>
        </w:tc>
      </w:tr>
      <w:tr>
        <w:trPr>
          <w:trHeight w:val="175"/>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101.DEF*</w:t>
            </w:r>
          </w:p>
        </w:tc>
        <w:tc>
          <w:tcPr>
            <w:tcW w:w="10040" w:type="dxa"/>
            <w:vAlign w:val="bottom"/>
            <w:gridSpan w:val="6"/>
            <w:shd w:val="clear" w:color="auto" w:fill="CCEEFF"/>
          </w:tcPr>
          <w:p>
            <w:pPr>
              <w:spacing w:after="0" w:line="176" w:lineRule="exact"/>
              <w:rPr>
                <w:sz w:val="20"/>
                <w:szCs w:val="20"/>
                <w:color w:val="auto"/>
              </w:rPr>
            </w:pPr>
            <w:r>
              <w:rPr>
                <w:rFonts w:ascii="Arial" w:cs="Arial" w:eastAsia="Arial" w:hAnsi="Arial"/>
                <w:sz w:val="17"/>
                <w:szCs w:val="17"/>
                <w:color w:val="auto"/>
              </w:rPr>
              <w:t>Inline XBRL Taxonomy Extension Definition Linkbase</w:t>
            </w:r>
          </w:p>
        </w:tc>
      </w:tr>
      <w:tr>
        <w:trPr>
          <w:trHeight w:val="232"/>
        </w:trPr>
        <w:tc>
          <w:tcPr>
            <w:tcW w:w="1200" w:type="dxa"/>
            <w:vAlign w:val="bottom"/>
            <w:shd w:val="clear" w:color="auto" w:fill="CCEEFF"/>
          </w:tcPr>
          <w:p>
            <w:pPr>
              <w:spacing w:after="0"/>
              <w:rPr>
                <w:sz w:val="20"/>
                <w:szCs w:val="20"/>
                <w:color w:val="auto"/>
              </w:rPr>
            </w:pPr>
          </w:p>
        </w:tc>
        <w:tc>
          <w:tcPr>
            <w:tcW w:w="1004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Document</w:t>
            </w:r>
          </w:p>
        </w:tc>
      </w:tr>
      <w:tr>
        <w:trPr>
          <w:trHeight w:val="218"/>
        </w:trPr>
        <w:tc>
          <w:tcPr>
            <w:tcW w:w="1200" w:type="dxa"/>
            <w:vAlign w:val="bottom"/>
          </w:tcPr>
          <w:p>
            <w:pPr>
              <w:ind w:left="20"/>
              <w:spacing w:after="0"/>
              <w:rPr>
                <w:sz w:val="20"/>
                <w:szCs w:val="20"/>
                <w:color w:val="auto"/>
              </w:rPr>
            </w:pPr>
            <w:r>
              <w:rPr>
                <w:rFonts w:ascii="Arial" w:cs="Arial" w:eastAsia="Arial" w:hAnsi="Arial"/>
                <w:sz w:val="17"/>
                <w:szCs w:val="17"/>
                <w:color w:val="auto"/>
              </w:rPr>
              <w:t>101.LAB*</w:t>
            </w:r>
          </w:p>
        </w:tc>
        <w:tc>
          <w:tcPr>
            <w:tcW w:w="10040" w:type="dxa"/>
            <w:vAlign w:val="bottom"/>
            <w:gridSpan w:val="6"/>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169"/>
        </w:trPr>
        <w:tc>
          <w:tcPr>
            <w:tcW w:w="12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101.PRE*</w:t>
            </w:r>
          </w:p>
        </w:tc>
        <w:tc>
          <w:tcPr>
            <w:tcW w:w="10040" w:type="dxa"/>
            <w:vAlign w:val="bottom"/>
            <w:gridSpan w:val="6"/>
            <w:shd w:val="clear" w:color="auto" w:fill="CCEEFF"/>
          </w:tcPr>
          <w:p>
            <w:pPr>
              <w:spacing w:after="0" w:line="169" w:lineRule="exact"/>
              <w:rPr>
                <w:sz w:val="20"/>
                <w:szCs w:val="20"/>
                <w:color w:val="auto"/>
              </w:rPr>
            </w:pPr>
            <w:r>
              <w:rPr>
                <w:rFonts w:ascii="Arial" w:cs="Arial" w:eastAsia="Arial" w:hAnsi="Arial"/>
                <w:sz w:val="17"/>
                <w:szCs w:val="17"/>
                <w:color w:val="auto"/>
              </w:rPr>
              <w:t>Inline XBRL Taxonomy Extension Presentation Linkbase</w:t>
            </w:r>
          </w:p>
        </w:tc>
      </w:tr>
      <w:tr>
        <w:trPr>
          <w:trHeight w:val="232"/>
        </w:trPr>
        <w:tc>
          <w:tcPr>
            <w:tcW w:w="1200" w:type="dxa"/>
            <w:vAlign w:val="bottom"/>
            <w:shd w:val="clear" w:color="auto" w:fill="CCEEFF"/>
          </w:tcPr>
          <w:p>
            <w:pPr>
              <w:spacing w:after="0"/>
              <w:rPr>
                <w:sz w:val="20"/>
                <w:szCs w:val="20"/>
                <w:color w:val="auto"/>
              </w:rPr>
            </w:pPr>
          </w:p>
        </w:tc>
        <w:tc>
          <w:tcPr>
            <w:tcW w:w="1004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Document</w:t>
            </w:r>
          </w:p>
        </w:tc>
      </w:tr>
      <w:tr>
        <w:trPr>
          <w:trHeight w:val="168"/>
        </w:trPr>
        <w:tc>
          <w:tcPr>
            <w:tcW w:w="1200" w:type="dxa"/>
            <w:vAlign w:val="bottom"/>
          </w:tcPr>
          <w:p>
            <w:pPr>
              <w:ind w:left="20"/>
              <w:spacing w:after="0" w:line="168" w:lineRule="exact"/>
              <w:rPr>
                <w:sz w:val="20"/>
                <w:szCs w:val="20"/>
                <w:color w:val="auto"/>
              </w:rPr>
            </w:pPr>
            <w:r>
              <w:rPr>
                <w:rFonts w:ascii="Arial" w:cs="Arial" w:eastAsia="Arial" w:hAnsi="Arial"/>
                <w:sz w:val="17"/>
                <w:szCs w:val="17"/>
                <w:color w:val="auto"/>
              </w:rPr>
              <w:t>104.0</w:t>
            </w:r>
          </w:p>
        </w:tc>
        <w:tc>
          <w:tcPr>
            <w:tcW w:w="10040" w:type="dxa"/>
            <w:vAlign w:val="bottom"/>
            <w:gridSpan w:val="6"/>
          </w:tcPr>
          <w:p>
            <w:pPr>
              <w:spacing w:after="0" w:line="168" w:lineRule="exact"/>
              <w:rPr>
                <w:sz w:val="20"/>
                <w:szCs w:val="20"/>
                <w:color w:val="auto"/>
              </w:rPr>
            </w:pPr>
            <w:r>
              <w:rPr>
                <w:rFonts w:ascii="Arial" w:cs="Arial" w:eastAsia="Arial" w:hAnsi="Arial"/>
                <w:sz w:val="17"/>
                <w:szCs w:val="17"/>
                <w:color w:val="auto"/>
              </w:rPr>
              <w:t>Cover Page Interactive Data File (formatted as Inline XBRL and</w:t>
            </w:r>
          </w:p>
        </w:tc>
      </w:tr>
      <w:tr>
        <w:trPr>
          <w:trHeight w:val="217"/>
        </w:trPr>
        <w:tc>
          <w:tcPr>
            <w:tcW w:w="120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Arial" w:cs="Arial" w:eastAsia="Arial" w:hAnsi="Arial"/>
                <w:sz w:val="17"/>
                <w:szCs w:val="17"/>
                <w:color w:val="auto"/>
              </w:rPr>
              <w:t>contained in Exhibit 101)</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212529"/>
        </w:rPr>
        <w:t>—————</w:t>
      </w:r>
    </w:p>
    <w:p>
      <w:pPr>
        <w:spacing w:after="0" w:line="22"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212529"/>
        </w:rPr>
        <w:t>*</w:t>
      </w:r>
      <w:r>
        <w:rPr>
          <w:sz w:val="20"/>
          <w:szCs w:val="20"/>
          <w:color w:val="auto"/>
        </w:rPr>
        <w:tab/>
      </w:r>
      <w:r>
        <w:rPr>
          <w:rFonts w:ascii="Arial" w:cs="Arial" w:eastAsia="Arial" w:hAnsi="Arial"/>
          <w:sz w:val="15"/>
          <w:szCs w:val="15"/>
          <w:color w:val="212529"/>
        </w:rPr>
        <w:t>Filed herewith.</w:t>
      </w:r>
    </w:p>
    <w:p>
      <w:pPr>
        <w:spacing w:after="0" w:line="11" w:lineRule="exact"/>
        <w:rPr>
          <w:sz w:val="20"/>
          <w:szCs w:val="20"/>
          <w:color w:val="auto"/>
        </w:rPr>
      </w:pPr>
    </w:p>
    <w:p>
      <w:pPr>
        <w:spacing w:after="0"/>
        <w:tabs>
          <w:tab w:leader="none" w:pos="260" w:val="left"/>
        </w:tabs>
        <w:rPr>
          <w:sz w:val="20"/>
          <w:szCs w:val="20"/>
          <w:color w:val="auto"/>
        </w:rPr>
      </w:pPr>
      <w:r>
        <w:rPr>
          <w:rFonts w:ascii="Arial" w:cs="Arial" w:eastAsia="Arial" w:hAnsi="Arial"/>
          <w:sz w:val="17"/>
          <w:szCs w:val="17"/>
          <w:color w:val="212529"/>
        </w:rPr>
        <w:t>+</w:t>
      </w:r>
      <w:r>
        <w:rPr>
          <w:sz w:val="20"/>
          <w:szCs w:val="20"/>
          <w:color w:val="auto"/>
        </w:rPr>
        <w:tab/>
      </w:r>
      <w:r>
        <w:rPr>
          <w:rFonts w:ascii="Arial" w:cs="Arial" w:eastAsia="Arial" w:hAnsi="Arial"/>
          <w:sz w:val="15"/>
          <w:szCs w:val="15"/>
          <w:color w:val="212529"/>
        </w:rPr>
        <w:t>Indicates management contract or compensatory plan.</w:t>
      </w:r>
    </w:p>
    <w:p>
      <w:pPr>
        <w:spacing w:after="0" w:line="11" w:lineRule="exact"/>
        <w:rPr>
          <w:sz w:val="20"/>
          <w:szCs w:val="20"/>
          <w:color w:val="auto"/>
        </w:rPr>
      </w:pPr>
    </w:p>
    <w:p>
      <w:pPr>
        <w:ind w:left="620" w:right="120" w:hanging="617"/>
        <w:spacing w:after="0" w:line="253" w:lineRule="auto"/>
        <w:tabs>
          <w:tab w:leader="none" w:pos="254" w:val="left"/>
        </w:tabs>
        <w:numPr>
          <w:ilvl w:val="0"/>
          <w:numId w:val="41"/>
        </w:numPr>
        <w:rPr>
          <w:rFonts w:ascii="Arial" w:cs="Arial" w:eastAsia="Arial" w:hAnsi="Arial"/>
          <w:sz w:val="17"/>
          <w:szCs w:val="17"/>
          <w:color w:val="212529"/>
        </w:rPr>
      </w:pPr>
      <w:r>
        <w:rPr>
          <w:rFonts w:ascii="Arial" w:cs="Arial" w:eastAsia="Arial" w:hAnsi="Arial"/>
          <w:sz w:val="17"/>
          <w:szCs w:val="17"/>
          <w:color w:val="auto"/>
        </w:rPr>
        <w:t>Portions of this exhibit (indicated by asterisk) have been excluded because such information is both (i) not material and (ii) would be competitively harmful if publicly disclosed.</w:t>
      </w:r>
    </w:p>
    <w:p>
      <w:pPr>
        <w:ind w:left="620" w:right="180" w:hanging="617"/>
        <w:spacing w:after="0" w:line="257" w:lineRule="auto"/>
        <w:tabs>
          <w:tab w:leader="none" w:pos="25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type w:val="continuous"/>
        </w:sectPr>
      </w:pPr>
    </w:p>
    <w:bookmarkStart w:id="129" w:name="page130"/>
    <w:bookmarkEnd w:id="129"/>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SIGNATURES</w:t>
      </w:r>
    </w:p>
    <w:p>
      <w:pPr>
        <w:spacing w:after="0" w:line="256"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1940" w:type="dxa"/>
            <w:vAlign w:val="bottom"/>
          </w:tcPr>
          <w:p>
            <w:pPr>
              <w:spacing w:after="0"/>
              <w:rPr>
                <w:sz w:val="19"/>
                <w:szCs w:val="19"/>
                <w:color w:val="auto"/>
              </w:rPr>
            </w:pPr>
          </w:p>
        </w:tc>
        <w:tc>
          <w:tcPr>
            <w:tcW w:w="9120" w:type="dxa"/>
            <w:vAlign w:val="bottom"/>
            <w:gridSpan w:val="2"/>
          </w:tcPr>
          <w:p>
            <w:pPr>
              <w:ind w:left="620"/>
              <w:spacing w:after="0"/>
              <w:rPr>
                <w:sz w:val="20"/>
                <w:szCs w:val="20"/>
                <w:color w:val="auto"/>
              </w:rPr>
            </w:pPr>
            <w:r>
              <w:rPr>
                <w:rFonts w:ascii="Arial" w:cs="Arial" w:eastAsia="Arial" w:hAnsi="Arial"/>
                <w:sz w:val="17"/>
                <w:szCs w:val="17"/>
                <w:b w:val="1"/>
                <w:bCs w:val="1"/>
                <w:color w:val="auto"/>
              </w:rPr>
              <w:t>Upstart Holdings, Inc.</w:t>
            </w:r>
          </w:p>
        </w:tc>
      </w:tr>
      <w:tr>
        <w:trPr>
          <w:trHeight w:val="219"/>
        </w:trPr>
        <w:tc>
          <w:tcPr>
            <w:tcW w:w="1940" w:type="dxa"/>
            <w:vAlign w:val="bottom"/>
          </w:tcPr>
          <w:p>
            <w:pPr>
              <w:spacing w:after="0"/>
              <w:rPr>
                <w:sz w:val="19"/>
                <w:szCs w:val="19"/>
                <w:color w:val="auto"/>
              </w:rPr>
            </w:pPr>
          </w:p>
        </w:tc>
        <w:tc>
          <w:tcPr>
            <w:tcW w:w="9120" w:type="dxa"/>
            <w:vAlign w:val="bottom"/>
            <w:gridSpan w:val="2"/>
          </w:tcPr>
          <w:p>
            <w:pPr>
              <w:ind w:left="620"/>
              <w:spacing w:after="0"/>
              <w:rPr>
                <w:sz w:val="20"/>
                <w:szCs w:val="20"/>
                <w:color w:val="auto"/>
              </w:rPr>
            </w:pPr>
            <w:r>
              <w:rPr>
                <w:rFonts w:ascii="Arial" w:cs="Arial" w:eastAsia="Arial" w:hAnsi="Arial"/>
                <w:sz w:val="17"/>
                <w:szCs w:val="17"/>
                <w:color w:val="auto"/>
              </w:rPr>
              <w:t>(Registrant)</w:t>
            </w:r>
          </w:p>
        </w:tc>
      </w:tr>
      <w:tr>
        <w:trPr>
          <w:trHeight w:val="220"/>
        </w:trPr>
        <w:tc>
          <w:tcPr>
            <w:tcW w:w="1940" w:type="dxa"/>
            <w:vAlign w:val="bottom"/>
          </w:tcPr>
          <w:p>
            <w:pPr>
              <w:spacing w:after="0"/>
              <w:rPr>
                <w:sz w:val="20"/>
                <w:szCs w:val="20"/>
                <w:color w:val="auto"/>
              </w:rPr>
            </w:pPr>
            <w:r>
              <w:rPr>
                <w:rFonts w:ascii="Arial" w:cs="Arial" w:eastAsia="Arial" w:hAnsi="Arial"/>
                <w:sz w:val="17"/>
                <w:szCs w:val="17"/>
                <w:color w:val="auto"/>
              </w:rPr>
              <w:t>Date: May 9, 2023</w:t>
            </w:r>
          </w:p>
        </w:tc>
        <w:tc>
          <w:tcPr>
            <w:tcW w:w="1100" w:type="dxa"/>
            <w:vAlign w:val="bottom"/>
          </w:tcPr>
          <w:p>
            <w:pPr>
              <w:ind w:left="620"/>
              <w:spacing w:after="0"/>
              <w:rPr>
                <w:sz w:val="20"/>
                <w:szCs w:val="20"/>
                <w:color w:val="auto"/>
              </w:rPr>
            </w:pPr>
            <w:r>
              <w:rPr>
                <w:rFonts w:ascii="Arial" w:cs="Arial" w:eastAsia="Arial" w:hAnsi="Arial"/>
                <w:sz w:val="17"/>
                <w:szCs w:val="17"/>
                <w:color w:val="auto"/>
              </w:rPr>
              <w:t>By:</w:t>
            </w:r>
          </w:p>
        </w:tc>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Dave Girouard</w:t>
            </w:r>
          </w:p>
        </w:tc>
      </w:tr>
      <w:tr>
        <w:trPr>
          <w:trHeight w:val="211"/>
        </w:trPr>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7"/>
                <w:szCs w:val="17"/>
                <w:color w:val="auto"/>
              </w:rPr>
              <w:t>Dave Girouard</w:t>
            </w:r>
          </w:p>
        </w:tc>
      </w:tr>
      <w:tr>
        <w:trPr>
          <w:trHeight w:val="219"/>
        </w:trPr>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7"/>
                <w:szCs w:val="17"/>
                <w:color w:val="auto"/>
              </w:rPr>
              <w:t>Chief Executive Officer and Director</w:t>
            </w:r>
          </w:p>
        </w:tc>
      </w:tr>
      <w:tr>
        <w:trPr>
          <w:trHeight w:val="219"/>
        </w:trPr>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r>
        <w:trPr>
          <w:trHeight w:val="465"/>
        </w:trPr>
        <w:tc>
          <w:tcPr>
            <w:tcW w:w="1940" w:type="dxa"/>
            <w:vAlign w:val="bottom"/>
          </w:tcPr>
          <w:p>
            <w:pPr>
              <w:spacing w:after="0"/>
              <w:rPr>
                <w:sz w:val="20"/>
                <w:szCs w:val="20"/>
                <w:color w:val="auto"/>
              </w:rPr>
            </w:pPr>
            <w:r>
              <w:rPr>
                <w:rFonts w:ascii="Arial" w:cs="Arial" w:eastAsia="Arial" w:hAnsi="Arial"/>
                <w:sz w:val="17"/>
                <w:szCs w:val="17"/>
                <w:color w:val="auto"/>
              </w:rPr>
              <w:t>Date: May 9, 2023</w:t>
            </w:r>
          </w:p>
        </w:tc>
        <w:tc>
          <w:tcPr>
            <w:tcW w:w="1100" w:type="dxa"/>
            <w:vAlign w:val="bottom"/>
          </w:tcPr>
          <w:p>
            <w:pPr>
              <w:ind w:left="620"/>
              <w:spacing w:after="0"/>
              <w:rPr>
                <w:sz w:val="20"/>
                <w:szCs w:val="20"/>
                <w:color w:val="auto"/>
              </w:rPr>
            </w:pPr>
            <w:r>
              <w:rPr>
                <w:rFonts w:ascii="Arial" w:cs="Arial" w:eastAsia="Arial" w:hAnsi="Arial"/>
                <w:sz w:val="17"/>
                <w:szCs w:val="17"/>
                <w:color w:val="auto"/>
              </w:rPr>
              <w:t>By:</w:t>
            </w:r>
          </w:p>
        </w:tc>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Sanjay Datta</w:t>
            </w:r>
          </w:p>
        </w:tc>
      </w:tr>
      <w:tr>
        <w:trPr>
          <w:trHeight w:val="211"/>
        </w:trPr>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7"/>
                <w:szCs w:val="17"/>
                <w:color w:val="auto"/>
              </w:rPr>
              <w:t>Sanjay Datta</w:t>
            </w:r>
          </w:p>
        </w:tc>
      </w:tr>
      <w:tr>
        <w:trPr>
          <w:trHeight w:val="219"/>
        </w:trPr>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19"/>
        </w:trPr>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40"/>
          </w:cols>
          <w:pgMar w:left="320" w:top="144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Dave Girouard, certify that:</w:t>
      </w:r>
    </w:p>
    <w:p>
      <w:pPr>
        <w:spacing w:after="0" w:line="217" w:lineRule="exact"/>
        <w:rPr>
          <w:sz w:val="20"/>
          <w:szCs w:val="20"/>
          <w:color w:val="auto"/>
        </w:rPr>
      </w:pPr>
    </w:p>
    <w:p>
      <w:pPr>
        <w:ind w:left="180" w:hanging="177"/>
        <w:spacing w:after="0"/>
        <w:tabs>
          <w:tab w:leader="none" w:pos="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Upstart Holdings, Inc.;</w:t>
      </w:r>
    </w:p>
    <w:p>
      <w:pPr>
        <w:spacing w:after="0" w:line="217" w:lineRule="exact"/>
        <w:rPr>
          <w:rFonts w:ascii="Arial" w:cs="Arial" w:eastAsia="Arial" w:hAnsi="Arial"/>
          <w:sz w:val="17"/>
          <w:szCs w:val="17"/>
          <w:color w:val="auto"/>
        </w:rPr>
      </w:pPr>
    </w:p>
    <w:p>
      <w:pPr>
        <w:ind w:right="300" w:firstLine="3"/>
        <w:spacing w:after="0" w:line="312" w:lineRule="auto"/>
        <w:tabs>
          <w:tab w:leader="none" w:pos="17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400" w:firstLine="3"/>
        <w:spacing w:after="0" w:line="279" w:lineRule="auto"/>
        <w:tabs>
          <w:tab w:leader="none" w:pos="172"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80" w:firstLine="3"/>
        <w:spacing w:after="0" w:line="279" w:lineRule="auto"/>
        <w:tabs>
          <w:tab w:leader="none" w:pos="17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4" w:lineRule="exact"/>
        <w:rPr>
          <w:sz w:val="20"/>
          <w:szCs w:val="20"/>
          <w:color w:val="auto"/>
        </w:rPr>
      </w:pPr>
    </w:p>
    <w:p>
      <w:pPr>
        <w:ind w:right="200" w:firstLine="3"/>
        <w:spacing w:after="0" w:line="266" w:lineRule="auto"/>
        <w:tabs>
          <w:tab w:leader="none" w:pos="234"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firstLine="3"/>
        <w:spacing w:after="0" w:line="266" w:lineRule="auto"/>
        <w:tabs>
          <w:tab w:leader="none" w:pos="2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380" w:firstLine="3"/>
        <w:spacing w:after="0" w:line="279" w:lineRule="auto"/>
        <w:tabs>
          <w:tab w:leader="none" w:pos="234" w:val="left"/>
        </w:tabs>
        <w:numPr>
          <w:ilvl w:val="0"/>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right="20" w:firstLine="3"/>
        <w:spacing w:after="0" w:line="266" w:lineRule="auto"/>
        <w:tabs>
          <w:tab w:leader="none" w:pos="2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firstLine="3"/>
        <w:spacing w:after="0" w:line="279" w:lineRule="auto"/>
        <w:tabs>
          <w:tab w:leader="none" w:pos="17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right="540" w:firstLine="3"/>
        <w:spacing w:after="0" w:line="279" w:lineRule="auto"/>
        <w:tabs>
          <w:tab w:leader="none" w:pos="234"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140" w:firstLine="3"/>
        <w:spacing w:after="0" w:line="279" w:lineRule="auto"/>
        <w:tabs>
          <w:tab w:leader="none" w:pos="2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May 9, 2023</w:t>
      </w:r>
    </w:p>
    <w:p>
      <w:pPr>
        <w:sectPr>
          <w:pgSz w:w="11900" w:h="16838" w:orient="portrait"/>
          <w:cols w:equalWidth="0" w:num="1">
            <w:col w:w="11240"/>
          </w:cols>
          <w:pgMar w:left="320" w:top="1049"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UPSTART HOLDINGS, INC.</w:t>
      </w:r>
    </w:p>
    <w:p>
      <w:pPr>
        <w:spacing w:after="0" w:line="35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39370</wp:posOffset>
            </wp:positionV>
            <wp:extent cx="24479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ectPr>
          <w:pgSz w:w="11900" w:h="16838" w:orient="portrait"/>
          <w:cols w:equalWidth="0" w:num="1">
            <w:col w:w="9959"/>
          </w:cols>
          <w:pgMar w:left="500" w:top="1120" w:right="1440"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Dave Girouard</w:t>
      </w:r>
    </w:p>
    <w:p>
      <w:pPr>
        <w:spacing w:after="0" w:line="105" w:lineRule="exact"/>
        <w:rPr>
          <w:sz w:val="20"/>
          <w:szCs w:val="20"/>
          <w:color w:val="auto"/>
        </w:rPr>
      </w:pPr>
    </w:p>
    <w:p>
      <w:pPr>
        <w:sectPr>
          <w:pgSz w:w="11900" w:h="16838" w:orient="portrait"/>
          <w:cols w:equalWidth="0" w:num="2">
            <w:col w:w="460" w:space="260"/>
            <w:col w:w="9239"/>
          </w:cols>
          <w:pgMar w:left="500" w:top="1120"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2">
            <w:col w:w="360" w:space="360"/>
            <w:col w:w="9239"/>
          </w:cols>
          <w:pgMar w:left="500" w:top="1120" w:right="1440"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Sanjay Datta, certify that:</w:t>
      </w:r>
    </w:p>
    <w:p>
      <w:pPr>
        <w:spacing w:after="0" w:line="217" w:lineRule="exact"/>
        <w:rPr>
          <w:sz w:val="20"/>
          <w:szCs w:val="20"/>
          <w:color w:val="auto"/>
        </w:rPr>
      </w:pPr>
    </w:p>
    <w:p>
      <w:pPr>
        <w:ind w:left="180" w:hanging="177"/>
        <w:spacing w:after="0"/>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Upstart Holdings, Inc.;</w:t>
      </w:r>
    </w:p>
    <w:p>
      <w:pPr>
        <w:spacing w:after="0" w:line="217" w:lineRule="exact"/>
        <w:rPr>
          <w:rFonts w:ascii="Arial" w:cs="Arial" w:eastAsia="Arial" w:hAnsi="Arial"/>
          <w:sz w:val="17"/>
          <w:szCs w:val="17"/>
          <w:color w:val="auto"/>
        </w:rPr>
      </w:pPr>
    </w:p>
    <w:p>
      <w:pPr>
        <w:ind w:right="300" w:firstLine="3"/>
        <w:spacing w:after="0" w:line="312" w:lineRule="auto"/>
        <w:tabs>
          <w:tab w:leader="none" w:pos="172"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400" w:firstLine="3"/>
        <w:spacing w:after="0" w:line="279" w:lineRule="auto"/>
        <w:tabs>
          <w:tab w:leader="none" w:pos="172"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80" w:firstLine="3"/>
        <w:spacing w:after="0" w:line="279" w:lineRule="auto"/>
        <w:tabs>
          <w:tab w:leader="none" w:pos="17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4" w:lineRule="exact"/>
        <w:rPr>
          <w:sz w:val="20"/>
          <w:szCs w:val="20"/>
          <w:color w:val="auto"/>
        </w:rPr>
      </w:pPr>
    </w:p>
    <w:p>
      <w:pPr>
        <w:ind w:right="200" w:firstLine="3"/>
        <w:spacing w:after="0" w:line="266" w:lineRule="auto"/>
        <w:tabs>
          <w:tab w:leader="none" w:pos="234"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firstLine="3"/>
        <w:spacing w:after="0" w:line="266" w:lineRule="auto"/>
        <w:tabs>
          <w:tab w:leader="none" w:pos="243"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380" w:firstLine="3"/>
        <w:spacing w:after="0" w:line="279" w:lineRule="auto"/>
        <w:tabs>
          <w:tab w:leader="none" w:pos="234" w:val="left"/>
        </w:tabs>
        <w:numPr>
          <w:ilvl w:val="0"/>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right="20" w:firstLine="3"/>
        <w:spacing w:after="0" w:line="266" w:lineRule="auto"/>
        <w:tabs>
          <w:tab w:leader="none" w:pos="243"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firstLine="3"/>
        <w:spacing w:after="0" w:line="279" w:lineRule="auto"/>
        <w:tabs>
          <w:tab w:leader="none" w:pos="17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right="540" w:firstLine="3"/>
        <w:spacing w:after="0" w:line="279" w:lineRule="auto"/>
        <w:tabs>
          <w:tab w:leader="none" w:pos="234"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140" w:firstLine="3"/>
        <w:spacing w:after="0" w:line="279" w:lineRule="auto"/>
        <w:tabs>
          <w:tab w:leader="none" w:pos="2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May 9, 2023</w:t>
      </w:r>
    </w:p>
    <w:p>
      <w:pPr>
        <w:sectPr>
          <w:pgSz w:w="11900" w:h="16838" w:orient="portrait"/>
          <w:cols w:equalWidth="0" w:num="1">
            <w:col w:w="11240"/>
          </w:cols>
          <w:pgMar w:left="320" w:top="1049"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UPSTART HOLDINGS, INC.</w:t>
      </w:r>
    </w:p>
    <w:p>
      <w:pPr>
        <w:spacing w:after="0" w:line="35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39370</wp:posOffset>
            </wp:positionV>
            <wp:extent cx="24479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ectPr>
          <w:pgSz w:w="11900" w:h="16838" w:orient="portrait"/>
          <w:cols w:equalWidth="0" w:num="1">
            <w:col w:w="9959"/>
          </w:cols>
          <w:pgMar w:left="500" w:top="1120" w:right="1440"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Sanjay Datta</w:t>
      </w:r>
    </w:p>
    <w:p>
      <w:pPr>
        <w:spacing w:after="0" w:line="105" w:lineRule="exact"/>
        <w:rPr>
          <w:sz w:val="20"/>
          <w:szCs w:val="20"/>
          <w:color w:val="auto"/>
        </w:rPr>
      </w:pPr>
    </w:p>
    <w:p>
      <w:pPr>
        <w:sectPr>
          <w:pgSz w:w="11900" w:h="16838" w:orient="portrait"/>
          <w:cols w:equalWidth="0" w:num="2">
            <w:col w:w="460" w:space="260"/>
            <w:col w:w="9239"/>
          </w:cols>
          <w:pgMar w:left="500" w:top="1120"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2">
            <w:col w:w="360" w:space="360"/>
            <w:col w:w="9239"/>
          </w:cols>
          <w:pgMar w:left="500" w:top="1120" w:right="1440"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9"/>
          <w:szCs w:val="19"/>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 Dave Girouard, certify, pursuant to 18 U.S.C. Section 1350, as adopted pursuant to Section 906 of the Sarbanes-Oxley Act of 2002, that the Quarterly Report on Form 10-Q of Upstart Holdings, Inc. for the quarter ended March 31, 2023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480" w:type="dxa"/>
            <w:vAlign w:val="bottom"/>
          </w:tcPr>
          <w:p>
            <w:pPr>
              <w:ind w:left="20"/>
              <w:spacing w:after="0"/>
              <w:rPr>
                <w:sz w:val="20"/>
                <w:szCs w:val="20"/>
                <w:color w:val="auto"/>
              </w:rPr>
            </w:pPr>
            <w:r>
              <w:rPr>
                <w:rFonts w:ascii="Arial" w:cs="Arial" w:eastAsia="Arial" w:hAnsi="Arial"/>
                <w:sz w:val="19"/>
                <w:szCs w:val="19"/>
                <w:color w:val="auto"/>
              </w:rPr>
              <w:t>Date: May 9, 2023</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0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/s/ Dave Girouard</w:t>
            </w:r>
          </w:p>
        </w:tc>
      </w:tr>
      <w:tr>
        <w:trPr>
          <w:trHeight w:val="255"/>
        </w:trPr>
        <w:tc>
          <w:tcPr>
            <w:tcW w:w="5480" w:type="dxa"/>
            <w:vAlign w:val="bottom"/>
            <w:tcBorders>
              <w:top w:val="single" w:sz="8" w:color="FEFEFE"/>
            </w:tcBorders>
            <w:shd w:val="clear" w:color="auto" w:fill="FEFEFE"/>
          </w:tcPr>
          <w:p>
            <w:pPr>
              <w:spacing w:after="0"/>
              <w:rPr>
                <w:sz w:val="22"/>
                <w:szCs w:val="22"/>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02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19"/>
                <w:szCs w:val="19"/>
                <w:color w:val="auto"/>
              </w:rPr>
              <w:t>Dave Girouard</w:t>
            </w:r>
          </w:p>
        </w:tc>
      </w:tr>
      <w:tr>
        <w:trPr>
          <w:trHeight w:val="309"/>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02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 and President</w:t>
            </w:r>
          </w:p>
        </w:tc>
      </w:tr>
      <w:tr>
        <w:trPr>
          <w:trHeight w:val="297"/>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2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66"/>
        </w:trPr>
        <w:tc>
          <w:tcPr>
            <w:tcW w:w="5480" w:type="dxa"/>
            <w:vAlign w:val="bottom"/>
            <w:shd w:val="clear" w:color="auto" w:fill="FEFEFE"/>
          </w:tcPr>
          <w:p>
            <w:pPr>
              <w:spacing w:after="0"/>
              <w:rPr>
                <w:sz w:val="23"/>
                <w:szCs w:val="23"/>
                <w:color w:val="auto"/>
              </w:rPr>
            </w:pPr>
          </w:p>
        </w:tc>
        <w:tc>
          <w:tcPr>
            <w:tcW w:w="760" w:type="dxa"/>
            <w:vAlign w:val="bottom"/>
            <w:shd w:val="clear" w:color="auto" w:fill="FEFEFE"/>
          </w:tcPr>
          <w:p>
            <w:pPr>
              <w:spacing w:after="0"/>
              <w:rPr>
                <w:sz w:val="23"/>
                <w:szCs w:val="23"/>
                <w:color w:val="auto"/>
              </w:rPr>
            </w:pPr>
          </w:p>
        </w:tc>
        <w:tc>
          <w:tcPr>
            <w:tcW w:w="4020" w:type="dxa"/>
            <w:vAlign w:val="bottom"/>
            <w:shd w:val="clear" w:color="auto" w:fill="FEFEFE"/>
          </w:tcPr>
          <w:p>
            <w:pPr>
              <w:spacing w:after="0"/>
              <w:rPr>
                <w:sz w:val="23"/>
                <w:szCs w:val="23"/>
                <w:color w:val="auto"/>
              </w:rPr>
            </w:pPr>
          </w:p>
        </w:tc>
      </w:tr>
    </w:tbl>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 Sanjay Datta, certify, pursuant to 18 U.S.C. Section 1350, as adopted pursuant to Section 906 of the Sarbanes-Oxley Act of 2002, that the Quarterly Report on Form 10-Q of Upstart Holdings, Inc. for the quarter ended March 31, 2023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480" w:type="dxa"/>
            <w:vAlign w:val="bottom"/>
          </w:tcPr>
          <w:p>
            <w:pPr>
              <w:ind w:left="20"/>
              <w:spacing w:after="0"/>
              <w:rPr>
                <w:sz w:val="20"/>
                <w:szCs w:val="20"/>
                <w:color w:val="auto"/>
              </w:rPr>
            </w:pPr>
            <w:r>
              <w:rPr>
                <w:rFonts w:ascii="Arial" w:cs="Arial" w:eastAsia="Arial" w:hAnsi="Arial"/>
                <w:sz w:val="19"/>
                <w:szCs w:val="19"/>
                <w:color w:val="auto"/>
              </w:rPr>
              <w:t>Date: May 9, 2023</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0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/s/ Sanjay Datta</w:t>
            </w:r>
          </w:p>
        </w:tc>
      </w:tr>
      <w:tr>
        <w:trPr>
          <w:trHeight w:val="255"/>
        </w:trPr>
        <w:tc>
          <w:tcPr>
            <w:tcW w:w="5480" w:type="dxa"/>
            <w:vAlign w:val="bottom"/>
            <w:tcBorders>
              <w:top w:val="single" w:sz="8" w:color="FEFEFE"/>
            </w:tcBorders>
            <w:shd w:val="clear" w:color="auto" w:fill="FEFEFE"/>
          </w:tcPr>
          <w:p>
            <w:pPr>
              <w:spacing w:after="0"/>
              <w:rPr>
                <w:sz w:val="22"/>
                <w:szCs w:val="22"/>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02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19"/>
                <w:szCs w:val="19"/>
                <w:color w:val="auto"/>
              </w:rPr>
              <w:t>Sanjay Datta</w:t>
            </w:r>
          </w:p>
        </w:tc>
      </w:tr>
      <w:tr>
        <w:trPr>
          <w:trHeight w:val="309"/>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02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309"/>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2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Financial Officer)</w:t>
            </w:r>
          </w:p>
        </w:tc>
      </w:tr>
      <w:tr>
        <w:trPr>
          <w:trHeight w:val="47"/>
        </w:trPr>
        <w:tc>
          <w:tcPr>
            <w:tcW w:w="5480" w:type="dxa"/>
            <w:vAlign w:val="bottom"/>
            <w:shd w:val="clear" w:color="auto" w:fill="FEFEFE"/>
          </w:tcPr>
          <w:p>
            <w:pPr>
              <w:spacing w:after="0"/>
              <w:rPr>
                <w:sz w:val="4"/>
                <w:szCs w:val="4"/>
                <w:color w:val="auto"/>
              </w:rPr>
            </w:pPr>
          </w:p>
        </w:tc>
        <w:tc>
          <w:tcPr>
            <w:tcW w:w="760" w:type="dxa"/>
            <w:vAlign w:val="bottom"/>
            <w:shd w:val="clear" w:color="auto" w:fill="FEFEFE"/>
          </w:tcPr>
          <w:p>
            <w:pPr>
              <w:spacing w:after="0"/>
              <w:rPr>
                <w:sz w:val="4"/>
                <w:szCs w:val="4"/>
                <w:color w:val="auto"/>
              </w:rPr>
            </w:pPr>
          </w:p>
        </w:tc>
        <w:tc>
          <w:tcPr>
            <w:tcW w:w="402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2"/>
    </w:lvl>
  </w:abstractNum>
  <w:abstractNum w:abstractNumId="14">
    <w:nsid w:val="22221A70"/>
    <w:multiLevelType w:val="hybridMultilevel"/>
    <w:lvl w:ilvl="0">
      <w:lvlJc w:val="left"/>
      <w:lvlText w:val="%1."/>
      <w:numFmt w:val="decimal"/>
      <w:start w:val="13"/>
    </w:lvl>
  </w:abstractNum>
  <w:abstractNum w:abstractNumId="15">
    <w:nsid w:val="4516DDE9"/>
    <w:multiLevelType w:val="hybridMultilevel"/>
    <w:lvl w:ilvl="0">
      <w:lvlJc w:val="left"/>
      <w:lvlText w:val="%1."/>
      <w:numFmt w:val="decimal"/>
      <w:start w:val="15"/>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5"/>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5"/>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2023-05-10T06:12:46Z</dcterms:created>
  <dcterms:modified xsi:type="dcterms:W3CDTF">2023-05-10T06:12:46Z</dcterms:modified>
</cp:coreProperties>
</file>