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20" w:type="dxa"/>
        <w:tblCellMar>
          <w:top w:w="0" w:type="dxa"/>
          <w:left w:w="0" w:type="dxa"/>
          <w:bottom w:w="0" w:type="dxa"/>
          <w:right w:w="0" w:type="dxa"/>
        </w:tblCellMar>
      </w:tblPr>
      <w:tr>
        <w:trPr>
          <w:trHeight w:val="335"/>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29"/>
                <w:szCs w:val="29"/>
                <w:b w:val="1"/>
                <w:bCs w:val="1"/>
                <w:color w:val="auto"/>
                <w:w w:val="98"/>
              </w:rPr>
              <w:t>UNITED STATES</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gridSpan w:val="10"/>
          </w:tcPr>
          <w:p>
            <w:pPr>
              <w:jc w:val="center"/>
              <w:ind w:right="646"/>
              <w:spacing w:after="0"/>
              <w:rPr>
                <w:sz w:val="20"/>
                <w:szCs w:val="20"/>
                <w:color w:val="auto"/>
              </w:rPr>
            </w:pPr>
            <w:r>
              <w:rPr>
                <w:rFonts w:ascii="Arial" w:cs="Arial" w:eastAsia="Arial" w:hAnsi="Arial"/>
                <w:sz w:val="29"/>
                <w:szCs w:val="29"/>
                <w:b w:val="1"/>
                <w:bCs w:val="1"/>
                <w:color w:val="auto"/>
              </w:rPr>
              <w:t>SECURITIES AND EXCHANGE COMMISSION</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b w:val="1"/>
                <w:bCs w:val="1"/>
                <w:color w:val="auto"/>
                <w:w w:val="94"/>
              </w:rPr>
              <w:t>Washington, D.C. 20549</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0" w:type="dxa"/>
            <w:vAlign w:val="bottom"/>
            <w:gridSpan w:val="4"/>
          </w:tcPr>
          <w:p>
            <w:pPr>
              <w:jc w:val="center"/>
              <w:ind w:left="611"/>
              <w:spacing w:after="0"/>
              <w:rPr>
                <w:sz w:val="20"/>
                <w:szCs w:val="20"/>
                <w:color w:val="auto"/>
              </w:rPr>
            </w:pPr>
            <w:r>
              <w:rPr>
                <w:rFonts w:ascii="Arial" w:cs="Arial" w:eastAsia="Arial" w:hAnsi="Arial"/>
                <w:sz w:val="15"/>
                <w:szCs w:val="15"/>
                <w:color w:val="auto"/>
                <w:w w:val="92"/>
              </w:rPr>
              <w:t>________________________</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29"/>
                <w:szCs w:val="29"/>
                <w:b w:val="1"/>
                <w:bCs w:val="1"/>
                <w:color w:val="auto"/>
              </w:rPr>
              <w:t>FORM 10-Q</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jc w:val="center"/>
              <w:ind w:right="43"/>
              <w:spacing w:after="0" w:line="170" w:lineRule="exact"/>
              <w:rPr>
                <w:sz w:val="20"/>
                <w:szCs w:val="20"/>
                <w:color w:val="auto"/>
              </w:rPr>
            </w:pPr>
            <w:r>
              <w:rPr>
                <w:rFonts w:ascii="Arial" w:cs="Arial" w:eastAsia="Arial" w:hAnsi="Arial"/>
                <w:sz w:val="15"/>
                <w:szCs w:val="15"/>
                <w:color w:val="auto"/>
                <w:w w:val="97"/>
              </w:rPr>
              <w:t>(Mark One)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900" w:type="dxa"/>
            <w:vAlign w:val="bottom"/>
          </w:tcPr>
          <w:p>
            <w:pPr>
              <w:jc w:val="center"/>
              <w:ind w:right="43"/>
              <w:spacing w:after="0" w:line="271" w:lineRule="exact"/>
              <w:rPr>
                <w:sz w:val="20"/>
                <w:szCs w:val="20"/>
                <w:color w:val="auto"/>
              </w:rPr>
            </w:pPr>
            <w:r>
              <w:rPr>
                <w:rFonts w:ascii="MS PGothic" w:cs="MS PGothic" w:eastAsia="MS PGothic" w:hAnsi="MS PGothic"/>
                <w:sz w:val="27"/>
                <w:szCs w:val="27"/>
                <w:color w:val="auto"/>
                <w:w w:val="96"/>
              </w:rPr>
              <w:t>☒</w:t>
            </w:r>
          </w:p>
        </w:tc>
        <w:tc>
          <w:tcPr>
            <w:tcW w:w="8520" w:type="dxa"/>
            <w:vAlign w:val="bottom"/>
            <w:gridSpan w:val="11"/>
          </w:tcPr>
          <w:p>
            <w:pPr>
              <w:ind w:left="160"/>
              <w:spacing w:after="0"/>
              <w:rPr>
                <w:sz w:val="20"/>
                <w:szCs w:val="20"/>
                <w:color w:val="auto"/>
              </w:rPr>
            </w:pPr>
            <w:r>
              <w:rPr>
                <w:rFonts w:ascii="Arial" w:cs="Arial" w:eastAsia="Arial" w:hAnsi="Arial"/>
                <w:sz w:val="15"/>
                <w:szCs w:val="15"/>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color w:val="auto"/>
                <w:w w:val="92"/>
              </w:rPr>
              <w:t>For the quarterly period ended September 30, 2022</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vMerge w:val="restart"/>
          </w:tcPr>
          <w:p>
            <w:pPr>
              <w:jc w:val="center"/>
              <w:ind w:right="43"/>
              <w:spacing w:after="0" w:line="271" w:lineRule="exact"/>
              <w:rPr>
                <w:sz w:val="20"/>
                <w:szCs w:val="20"/>
                <w:color w:val="auto"/>
              </w:rPr>
            </w:pPr>
            <w:r>
              <w:rPr>
                <w:rFonts w:ascii="MS PGothic" w:cs="MS PGothic" w:eastAsia="MS PGothic" w:hAnsi="MS PGothic"/>
                <w:sz w:val="27"/>
                <w:szCs w:val="27"/>
                <w:color w:val="auto"/>
                <w:w w:val="96"/>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80" w:type="dxa"/>
            <w:vAlign w:val="bottom"/>
            <w:gridSpan w:val="5"/>
          </w:tcPr>
          <w:p>
            <w:pPr>
              <w:jc w:val="center"/>
              <w:ind w:right="1180"/>
              <w:spacing w:after="0"/>
              <w:rPr>
                <w:sz w:val="20"/>
                <w:szCs w:val="20"/>
                <w:color w:val="auto"/>
              </w:rPr>
            </w:pPr>
            <w:r>
              <w:rPr>
                <w:rFonts w:ascii="Arial" w:cs="Arial" w:eastAsia="Arial" w:hAnsi="Arial"/>
                <w:sz w:val="15"/>
                <w:szCs w:val="15"/>
                <w:color w:val="auto"/>
                <w:w w:val="97"/>
              </w:rPr>
              <w:t>OR</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900" w:type="dxa"/>
            <w:vAlign w:val="bottom"/>
            <w:vMerge w:val="continue"/>
          </w:tcPr>
          <w:p>
            <w:pPr>
              <w:spacing w:after="0"/>
              <w:rPr>
                <w:sz w:val="24"/>
                <w:szCs w:val="24"/>
                <w:color w:val="auto"/>
              </w:rPr>
            </w:pPr>
          </w:p>
        </w:tc>
        <w:tc>
          <w:tcPr>
            <w:tcW w:w="8520" w:type="dxa"/>
            <w:vAlign w:val="bottom"/>
            <w:gridSpan w:val="11"/>
          </w:tcPr>
          <w:p>
            <w:pPr>
              <w:ind w:left="160"/>
              <w:spacing w:after="0"/>
              <w:rPr>
                <w:sz w:val="20"/>
                <w:szCs w:val="20"/>
                <w:color w:val="auto"/>
              </w:rPr>
            </w:pPr>
            <w:r>
              <w:rPr>
                <w:rFonts w:ascii="Arial" w:cs="Arial" w:eastAsia="Arial" w:hAnsi="Arial"/>
                <w:sz w:val="15"/>
                <w:szCs w:val="15"/>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80" w:type="dxa"/>
            <w:vAlign w:val="bottom"/>
            <w:gridSpan w:val="9"/>
          </w:tcPr>
          <w:p>
            <w:pPr>
              <w:jc w:val="center"/>
              <w:ind w:right="1686"/>
              <w:spacing w:after="0"/>
              <w:rPr>
                <w:sz w:val="20"/>
                <w:szCs w:val="20"/>
                <w:color w:val="auto"/>
              </w:rPr>
            </w:pPr>
            <w:r>
              <w:rPr>
                <w:rFonts w:ascii="Arial" w:cs="Arial" w:eastAsia="Arial" w:hAnsi="Arial"/>
                <w:sz w:val="15"/>
                <w:szCs w:val="15"/>
                <w:b w:val="1"/>
                <w:bCs w:val="1"/>
                <w:color w:val="auto"/>
                <w:w w:val="93"/>
              </w:rPr>
              <w:t>For the transition period from_________to ________</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b w:val="1"/>
                <w:bCs w:val="1"/>
                <w:color w:val="auto"/>
                <w:w w:val="93"/>
              </w:rPr>
              <w:t>Commission File Number: 001-39797</w:t>
            </w:r>
          </w:p>
        </w:tc>
        <w:tc>
          <w:tcPr>
            <w:tcW w:w="1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29"/>
                <w:szCs w:val="29"/>
                <w:b w:val="1"/>
                <w:bCs w:val="1"/>
                <w:color w:val="auto"/>
                <w:w w:val="92"/>
              </w:rPr>
              <w:t>Upstart Holdings, Inc.</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color w:val="auto"/>
                <w:w w:val="93"/>
              </w:rPr>
              <w:t>(Exact name of registrant as specified in its charter)</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20" w:type="dxa"/>
            <w:vAlign w:val="bottom"/>
            <w:gridSpan w:val="5"/>
          </w:tcPr>
          <w:p>
            <w:pPr>
              <w:jc w:val="center"/>
              <w:ind w:left="491"/>
              <w:spacing w:after="0"/>
              <w:rPr>
                <w:sz w:val="20"/>
                <w:szCs w:val="20"/>
                <w:color w:val="auto"/>
              </w:rPr>
            </w:pPr>
            <w:r>
              <w:rPr>
                <w:rFonts w:ascii="Arial" w:cs="Arial" w:eastAsia="Arial" w:hAnsi="Arial"/>
                <w:sz w:val="15"/>
                <w:szCs w:val="15"/>
                <w:color w:val="auto"/>
                <w:w w:val="93"/>
              </w:rPr>
              <w:t>_________________________</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2"/>
          </w:tcPr>
          <w:p>
            <w:pPr>
              <w:jc w:val="center"/>
              <w:ind w:right="187"/>
              <w:spacing w:after="0"/>
              <w:rPr>
                <w:sz w:val="20"/>
                <w:szCs w:val="20"/>
                <w:color w:val="auto"/>
              </w:rPr>
            </w:pPr>
            <w:r>
              <w:rPr>
                <w:rFonts w:ascii="Arial" w:cs="Arial" w:eastAsia="Arial" w:hAnsi="Arial"/>
                <w:sz w:val="15"/>
                <w:szCs w:val="15"/>
                <w:b w:val="1"/>
                <w:bCs w:val="1"/>
                <w:color w:val="auto"/>
                <w:w w:val="94"/>
              </w:rPr>
              <w:t>Delaware</w:t>
            </w: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2"/>
          </w:tcPr>
          <w:p>
            <w:pPr>
              <w:jc w:val="center"/>
              <w:ind w:left="287"/>
              <w:spacing w:after="0"/>
              <w:rPr>
                <w:sz w:val="20"/>
                <w:szCs w:val="20"/>
                <w:color w:val="auto"/>
              </w:rPr>
            </w:pPr>
            <w:r>
              <w:rPr>
                <w:rFonts w:ascii="Arial" w:cs="Arial" w:eastAsia="Arial" w:hAnsi="Arial"/>
                <w:sz w:val="15"/>
                <w:szCs w:val="15"/>
                <w:b w:val="1"/>
                <w:bCs w:val="1"/>
                <w:color w:val="auto"/>
                <w:w w:val="94"/>
              </w:rPr>
              <w:t>46-4332431</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2760" w:type="dxa"/>
            <w:vAlign w:val="bottom"/>
            <w:gridSpan w:val="3"/>
          </w:tcPr>
          <w:p>
            <w:pPr>
              <w:jc w:val="center"/>
              <w:ind w:left="684"/>
              <w:spacing w:after="0" w:line="155" w:lineRule="exact"/>
              <w:rPr>
                <w:sz w:val="20"/>
                <w:szCs w:val="20"/>
                <w:color w:val="auto"/>
              </w:rPr>
            </w:pPr>
            <w:r>
              <w:rPr>
                <w:rFonts w:ascii="Arial" w:cs="Arial" w:eastAsia="Arial" w:hAnsi="Arial"/>
                <w:sz w:val="15"/>
                <w:szCs w:val="15"/>
                <w:color w:val="auto"/>
                <w:w w:val="95"/>
              </w:rPr>
              <w:t>(State or other jurisdiction of</w:t>
            </w:r>
          </w:p>
        </w:tc>
        <w:tc>
          <w:tcPr>
            <w:tcW w:w="1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jc w:val="center"/>
              <w:ind w:left="186"/>
              <w:spacing w:after="0" w:line="155" w:lineRule="exact"/>
              <w:rPr>
                <w:sz w:val="20"/>
                <w:szCs w:val="20"/>
                <w:color w:val="auto"/>
              </w:rPr>
            </w:pPr>
            <w:r>
              <w:rPr>
                <w:rFonts w:ascii="Arial" w:cs="Arial" w:eastAsia="Arial" w:hAnsi="Arial"/>
                <w:sz w:val="15"/>
                <w:szCs w:val="15"/>
                <w:color w:val="auto"/>
                <w:w w:val="94"/>
              </w:rPr>
              <w:t>(I.R.S. Employer</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760" w:type="dxa"/>
            <w:vAlign w:val="bottom"/>
            <w:gridSpan w:val="3"/>
          </w:tcPr>
          <w:p>
            <w:pPr>
              <w:jc w:val="center"/>
              <w:ind w:left="664"/>
              <w:spacing w:after="0"/>
              <w:rPr>
                <w:sz w:val="20"/>
                <w:szCs w:val="20"/>
                <w:color w:val="auto"/>
              </w:rPr>
            </w:pPr>
            <w:r>
              <w:rPr>
                <w:rFonts w:ascii="Arial" w:cs="Arial" w:eastAsia="Arial" w:hAnsi="Arial"/>
                <w:sz w:val="15"/>
                <w:szCs w:val="15"/>
                <w:color w:val="auto"/>
                <w:w w:val="95"/>
              </w:rPr>
              <w:t>incorporation or organization)</w:t>
            </w: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jc w:val="center"/>
              <w:ind w:left="186"/>
              <w:spacing w:after="0"/>
              <w:rPr>
                <w:sz w:val="20"/>
                <w:szCs w:val="20"/>
                <w:color w:val="auto"/>
              </w:rPr>
            </w:pPr>
            <w:r>
              <w:rPr>
                <w:rFonts w:ascii="Arial" w:cs="Arial" w:eastAsia="Arial" w:hAnsi="Arial"/>
                <w:sz w:val="15"/>
                <w:szCs w:val="15"/>
                <w:color w:val="auto"/>
                <w:w w:val="99"/>
              </w:rPr>
              <w:t>Identification No.)</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b w:val="1"/>
                <w:bCs w:val="1"/>
                <w:color w:val="auto"/>
                <w:w w:val="95"/>
              </w:rPr>
              <w:t>Upstart Holdings, Inc.</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b w:val="1"/>
                <w:bCs w:val="1"/>
                <w:color w:val="auto"/>
                <w:w w:val="92"/>
              </w:rPr>
              <w:t>2950 S. Delaware Street, Suite 300</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6"/>
          </w:tcPr>
          <w:p>
            <w:pPr>
              <w:jc w:val="center"/>
              <w:spacing w:after="0"/>
              <w:rPr>
                <w:sz w:val="20"/>
                <w:szCs w:val="20"/>
                <w:color w:val="auto"/>
              </w:rPr>
            </w:pPr>
            <w:r>
              <w:rPr>
                <w:rFonts w:ascii="Arial" w:cs="Arial" w:eastAsia="Arial" w:hAnsi="Arial"/>
                <w:sz w:val="15"/>
                <w:szCs w:val="15"/>
                <w:b w:val="1"/>
                <w:bCs w:val="1"/>
                <w:color w:val="auto"/>
                <w:w w:val="94"/>
              </w:rPr>
              <w:t>San Mateo, California 94403</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color w:val="auto"/>
                <w:w w:val="90"/>
              </w:rPr>
              <w:t>(Address of principal executive offices, including zip code)</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0" w:type="dxa"/>
            <w:vAlign w:val="bottom"/>
            <w:gridSpan w:val="4"/>
          </w:tcPr>
          <w:p>
            <w:pPr>
              <w:jc w:val="center"/>
              <w:ind w:left="591"/>
              <w:spacing w:after="0"/>
              <w:rPr>
                <w:sz w:val="20"/>
                <w:szCs w:val="20"/>
                <w:color w:val="auto"/>
              </w:rPr>
            </w:pPr>
            <w:r>
              <w:rPr>
                <w:rFonts w:ascii="Arial" w:cs="Arial" w:eastAsia="Arial" w:hAnsi="Arial"/>
                <w:sz w:val="15"/>
                <w:szCs w:val="15"/>
                <w:b w:val="1"/>
                <w:bCs w:val="1"/>
                <w:color w:val="auto"/>
                <w:w w:val="93"/>
              </w:rPr>
              <w:t>(650) 204-1000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6"/>
          </w:tcPr>
          <w:p>
            <w:pPr>
              <w:jc w:val="center"/>
              <w:spacing w:after="0"/>
              <w:rPr>
                <w:sz w:val="20"/>
                <w:szCs w:val="20"/>
                <w:color w:val="auto"/>
              </w:rPr>
            </w:pPr>
            <w:r>
              <w:rPr>
                <w:rFonts w:ascii="Arial" w:cs="Arial" w:eastAsia="Arial" w:hAnsi="Arial"/>
                <w:sz w:val="14"/>
                <w:szCs w:val="14"/>
                <w:color w:val="auto"/>
                <w:w w:val="88"/>
              </w:rPr>
              <w:t>(Registrant’s telephone number, including area code)</w:t>
            </w: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gridSpan w:val="5"/>
          </w:tcPr>
          <w:p>
            <w:pPr>
              <w:jc w:val="center"/>
              <w:ind w:left="491"/>
              <w:spacing w:after="0"/>
              <w:rPr>
                <w:sz w:val="20"/>
                <w:szCs w:val="20"/>
                <w:color w:val="auto"/>
              </w:rPr>
            </w:pPr>
            <w:r>
              <w:rPr>
                <w:rFonts w:ascii="Arial" w:cs="Arial" w:eastAsia="Arial" w:hAnsi="Arial"/>
                <w:sz w:val="15"/>
                <w:szCs w:val="15"/>
                <w:color w:val="auto"/>
                <w:w w:val="93"/>
              </w:rPr>
              <w:t>_________________________</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9"/>
          </w:tcPr>
          <w:p>
            <w:pPr>
              <w:jc w:val="center"/>
              <w:ind w:right="1686"/>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gridSpan w:val="5"/>
          </w:tcPr>
          <w:p>
            <w:pPr>
              <w:jc w:val="center"/>
              <w:ind w:right="1200"/>
              <w:spacing w:after="0"/>
              <w:rPr>
                <w:sz w:val="20"/>
                <w:szCs w:val="20"/>
                <w:color w:val="auto"/>
              </w:rPr>
            </w:pPr>
            <w:r>
              <w:rPr>
                <w:rFonts w:ascii="Arial" w:cs="Arial" w:eastAsia="Arial" w:hAnsi="Arial"/>
                <w:sz w:val="14"/>
                <w:szCs w:val="14"/>
                <w:color w:val="auto"/>
                <w:w w:val="89"/>
              </w:rPr>
              <w:t>Trading Symbol</w:t>
            </w:r>
          </w:p>
        </w:tc>
        <w:tc>
          <w:tcPr>
            <w:tcW w:w="2480" w:type="dxa"/>
            <w:vAlign w:val="bottom"/>
            <w:gridSpan w:val="2"/>
          </w:tcPr>
          <w:p>
            <w:pPr>
              <w:jc w:val="center"/>
              <w:spacing w:after="0"/>
              <w:rPr>
                <w:sz w:val="20"/>
                <w:szCs w:val="20"/>
                <w:color w:val="auto"/>
              </w:rPr>
            </w:pPr>
            <w:r>
              <w:rPr>
                <w:rFonts w:ascii="Arial" w:cs="Arial" w:eastAsia="Arial" w:hAnsi="Arial"/>
                <w:sz w:val="14"/>
                <w:szCs w:val="14"/>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00" w:type="dxa"/>
            <w:vAlign w:val="bottom"/>
          </w:tcPr>
          <w:p>
            <w:pPr>
              <w:spacing w:after="0"/>
              <w:rPr>
                <w:sz w:val="17"/>
                <w:szCs w:val="17"/>
                <w:color w:val="auto"/>
              </w:rPr>
            </w:pPr>
          </w:p>
        </w:tc>
        <w:tc>
          <w:tcPr>
            <w:tcW w:w="2760" w:type="dxa"/>
            <w:vAlign w:val="bottom"/>
            <w:gridSpan w:val="3"/>
          </w:tcPr>
          <w:p>
            <w:pPr>
              <w:jc w:val="center"/>
              <w:ind w:left="204"/>
              <w:spacing w:after="0"/>
              <w:rPr>
                <w:sz w:val="20"/>
                <w:szCs w:val="20"/>
                <w:color w:val="auto"/>
              </w:rPr>
            </w:pPr>
            <w:r>
              <w:rPr>
                <w:rFonts w:ascii="Arial" w:cs="Arial" w:eastAsia="Arial" w:hAnsi="Arial"/>
                <w:sz w:val="14"/>
                <w:szCs w:val="14"/>
                <w:color w:val="auto"/>
                <w:w w:val="87"/>
              </w:rPr>
              <w:t>Common Stock, par value $0.0001 per share</w:t>
            </w:r>
          </w:p>
        </w:tc>
        <w:tc>
          <w:tcPr>
            <w:tcW w:w="1200" w:type="dxa"/>
            <w:vAlign w:val="bottom"/>
          </w:tcPr>
          <w:p>
            <w:pPr>
              <w:spacing w:after="0"/>
              <w:rPr>
                <w:sz w:val="17"/>
                <w:szCs w:val="17"/>
                <w:color w:val="auto"/>
              </w:rPr>
            </w:pPr>
          </w:p>
        </w:tc>
        <w:tc>
          <w:tcPr>
            <w:tcW w:w="2080" w:type="dxa"/>
            <w:vAlign w:val="bottom"/>
            <w:gridSpan w:val="5"/>
          </w:tcPr>
          <w:p>
            <w:pPr>
              <w:jc w:val="center"/>
              <w:ind w:right="1220"/>
              <w:spacing w:after="0"/>
              <w:rPr>
                <w:sz w:val="20"/>
                <w:szCs w:val="20"/>
                <w:color w:val="auto"/>
              </w:rPr>
            </w:pPr>
            <w:r>
              <w:rPr>
                <w:rFonts w:ascii="Arial" w:cs="Arial" w:eastAsia="Arial" w:hAnsi="Arial"/>
                <w:sz w:val="14"/>
                <w:szCs w:val="14"/>
                <w:color w:val="auto"/>
                <w:w w:val="90"/>
              </w:rPr>
              <w:t>UPST</w:t>
            </w:r>
          </w:p>
        </w:tc>
        <w:tc>
          <w:tcPr>
            <w:tcW w:w="100" w:type="dxa"/>
            <w:vAlign w:val="bottom"/>
          </w:tcPr>
          <w:p>
            <w:pPr>
              <w:spacing w:after="0"/>
              <w:rPr>
                <w:sz w:val="17"/>
                <w:szCs w:val="17"/>
                <w:color w:val="auto"/>
              </w:rPr>
            </w:pPr>
          </w:p>
        </w:tc>
        <w:tc>
          <w:tcPr>
            <w:tcW w:w="2380" w:type="dxa"/>
            <w:vAlign w:val="bottom"/>
          </w:tcPr>
          <w:p>
            <w:pPr>
              <w:jc w:val="center"/>
              <w:ind w:right="46"/>
              <w:spacing w:after="0"/>
              <w:rPr>
                <w:sz w:val="20"/>
                <w:szCs w:val="20"/>
                <w:color w:val="auto"/>
              </w:rPr>
            </w:pPr>
            <w:r>
              <w:rPr>
                <w:rFonts w:ascii="Arial" w:cs="Arial" w:eastAsia="Arial" w:hAnsi="Arial"/>
                <w:sz w:val="14"/>
                <w:szCs w:val="14"/>
                <w:color w:val="auto"/>
                <w:w w:val="88"/>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4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7"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ind w:right="4820"/>
        <w:spacing w:after="0" w:line="23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October 31, 2022 there were 81,877,350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838200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60" w:type="dxa"/>
            <w:vAlign w:val="bottom"/>
            <w:gridSpan w:val="21"/>
            <w:vMerge w:val="restart"/>
          </w:tcPr>
          <w:p>
            <w:pPr>
              <w:spacing w:after="0"/>
              <w:rPr>
                <w:sz w:val="20"/>
                <w:szCs w:val="20"/>
                <w:color w:val="auto"/>
              </w:rPr>
            </w:pPr>
            <w:r>
              <w:rPr>
                <w:rFonts w:ascii="Arial" w:cs="Arial" w:eastAsia="Arial" w:hAnsi="Arial"/>
                <w:sz w:val="17"/>
                <w:szCs w:val="17"/>
                <w:b w:val="1"/>
                <w:bCs w:val="1"/>
                <w:color w:val="0000FF"/>
              </w:rPr>
              <w:t>PART I. FINANCIAL INFORMATION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1"/>
        </w:trPr>
        <w:tc>
          <w:tcPr>
            <w:tcW w:w="10160" w:type="dxa"/>
            <w:vAlign w:val="bottom"/>
            <w:gridSpan w:val="21"/>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480" w:type="dxa"/>
            <w:vAlign w:val="bottom"/>
            <w:gridSpan w:val="18"/>
          </w:tcPr>
          <w:p>
            <w:pPr>
              <w:spacing w:after="0"/>
              <w:rPr>
                <w:sz w:val="20"/>
                <w:szCs w:val="20"/>
                <w:color w:val="auto"/>
              </w:rPr>
            </w:pPr>
            <w:r>
              <w:rPr>
                <w:rFonts w:ascii="Arial" w:cs="Arial" w:eastAsia="Arial" w:hAnsi="Arial"/>
                <w:sz w:val="17"/>
                <w:szCs w:val="17"/>
                <w:color w:val="0000FF"/>
              </w:rPr>
              <w:t>Financial Statements</w:t>
            </w: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88"/>
              </w:rPr>
              <w:t>Condensed Consolidated Balance Sheets</w:t>
            </w:r>
          </w:p>
        </w:tc>
        <w:tc>
          <w:tcPr>
            <w:tcW w:w="5660" w:type="dxa"/>
            <w:vAlign w:val="bottom"/>
            <w:gridSpan w:val="9"/>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6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0"/>
              </w:rPr>
              <w:t>Condensed Consolidated Statements of Operations and Comprehensive Income (Loss)</w:t>
            </w:r>
          </w:p>
        </w:tc>
        <w:tc>
          <w:tcPr>
            <w:tcW w:w="2520" w:type="dxa"/>
            <w:vAlign w:val="bottom"/>
            <w:gridSpan w:val="2"/>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80" w:type="dxa"/>
            <w:vAlign w:val="bottom"/>
            <w:gridSpan w:val="18"/>
          </w:tcPr>
          <w:p>
            <w:pPr>
              <w:spacing w:after="0"/>
              <w:rPr>
                <w:sz w:val="20"/>
                <w:szCs w:val="20"/>
                <w:color w:val="auto"/>
              </w:rPr>
            </w:pPr>
            <w:r>
              <w:rPr>
                <w:rFonts w:ascii="Arial" w:cs="Arial" w:eastAsia="Arial" w:hAnsi="Arial"/>
                <w:sz w:val="17"/>
                <w:szCs w:val="17"/>
                <w:color w:val="0000FF"/>
              </w:rPr>
              <w:t>Condensed Consolidated Statements of Stockholders’ Equity</w:t>
            </w: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w w:val="89"/>
              </w:rPr>
              <w:t>Condensed Consolidated Statements of Cash Flows</w:t>
            </w:r>
          </w:p>
        </w:tc>
        <w:tc>
          <w:tcPr>
            <w:tcW w:w="640" w:type="dxa"/>
            <w:vAlign w:val="bottom"/>
            <w:tcBorders>
              <w:top w:val="single" w:sz="8" w:color="0000FF"/>
            </w:tcBorders>
            <w:gridSpan w:val="4"/>
          </w:tcPr>
          <w:p>
            <w:pPr>
              <w:spacing w:after="0"/>
              <w:rPr>
                <w:sz w:val="17"/>
                <w:szCs w:val="17"/>
                <w:color w:val="auto"/>
              </w:rPr>
            </w:pPr>
          </w:p>
        </w:tc>
        <w:tc>
          <w:tcPr>
            <w:tcW w:w="4280" w:type="dxa"/>
            <w:vAlign w:val="bottom"/>
            <w:gridSpan w:val="3"/>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90"/>
              </w:rPr>
              <w:t>Notes to the Condensed Consolidated Financial Statements</w:t>
            </w:r>
          </w:p>
        </w:tc>
        <w:tc>
          <w:tcPr>
            <w:tcW w:w="4400" w:type="dxa"/>
            <w:vAlign w:val="bottom"/>
            <w:gridSpan w:val="6"/>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17"/>
          </w:tcPr>
          <w:p>
            <w:pPr>
              <w:spacing w:after="0"/>
              <w:rPr>
                <w:sz w:val="20"/>
                <w:szCs w:val="20"/>
                <w:color w:val="auto"/>
              </w:rPr>
            </w:pPr>
            <w:r>
              <w:rPr>
                <w:rFonts w:ascii="Arial" w:cs="Arial" w:eastAsia="Arial" w:hAnsi="Arial"/>
                <w:sz w:val="17"/>
                <w:szCs w:val="17"/>
                <w:color w:val="0000FF"/>
                <w:w w:val="92"/>
              </w:rPr>
              <w:t>Management’s Discussion and Analysis of Financial Condition and Results of Operations</w:t>
            </w:r>
          </w:p>
        </w:tc>
        <w:tc>
          <w:tcPr>
            <w:tcW w:w="2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4300" w:type="dxa"/>
            <w:vAlign w:val="bottom"/>
            <w:gridSpan w:val="4"/>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89"/>
              </w:rPr>
              <w:t>Controls and Procedures</w:t>
            </w:r>
          </w:p>
        </w:tc>
        <w:tc>
          <w:tcPr>
            <w:tcW w:w="6780" w:type="dxa"/>
            <w:vAlign w:val="bottom"/>
            <w:gridSpan w:val="11"/>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457"/>
        </w:trPr>
        <w:tc>
          <w:tcPr>
            <w:tcW w:w="10160" w:type="dxa"/>
            <w:vAlign w:val="bottom"/>
            <w:gridSpan w:val="21"/>
          </w:tcPr>
          <w:p>
            <w:pPr>
              <w:spacing w:after="0"/>
              <w:rPr>
                <w:sz w:val="20"/>
                <w:szCs w:val="20"/>
                <w:color w:val="auto"/>
              </w:rPr>
            </w:pPr>
            <w:r>
              <w:rPr>
                <w:rFonts w:ascii="Arial" w:cs="Arial" w:eastAsia="Arial" w:hAnsi="Arial"/>
                <w:sz w:val="17"/>
                <w:szCs w:val="17"/>
                <w:b w:val="1"/>
                <w:bCs w:val="1"/>
                <w:color w:val="0000FF"/>
              </w:rPr>
              <w:t>PART II.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480" w:type="dxa"/>
            <w:vAlign w:val="bottom"/>
            <w:gridSpan w:val="18"/>
          </w:tcPr>
          <w:p>
            <w:pPr>
              <w:spacing w:after="0"/>
              <w:rPr>
                <w:sz w:val="20"/>
                <w:szCs w:val="20"/>
                <w:color w:val="auto"/>
              </w:rPr>
            </w:pPr>
            <w:r>
              <w:rPr>
                <w:rFonts w:ascii="Arial" w:cs="Arial" w:eastAsia="Arial" w:hAnsi="Arial"/>
                <w:sz w:val="17"/>
                <w:szCs w:val="17"/>
                <w:color w:val="0000FF"/>
              </w:rPr>
              <w:t>Legal Proceedings</w:t>
            </w:r>
          </w:p>
        </w:tc>
        <w:tc>
          <w:tcPr>
            <w:tcW w:w="106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7"/>
                <w:szCs w:val="17"/>
                <w:color w:val="0000FF"/>
                <w:w w:val="90"/>
              </w:rPr>
              <w:t>Risk Factors</w:t>
            </w:r>
          </w:p>
        </w:tc>
        <w:tc>
          <w:tcPr>
            <w:tcW w:w="400" w:type="dxa"/>
            <w:vAlign w:val="bottom"/>
            <w:tcBorders>
              <w:top w:val="single" w:sz="8" w:color="0000FF"/>
            </w:tcBorders>
            <w:gridSpan w:val="4"/>
          </w:tcPr>
          <w:p>
            <w:pPr>
              <w:spacing w:after="0"/>
              <w:rPr>
                <w:sz w:val="17"/>
                <w:szCs w:val="17"/>
                <w:color w:val="auto"/>
              </w:rPr>
            </w:pPr>
          </w:p>
        </w:tc>
        <w:tc>
          <w:tcPr>
            <w:tcW w:w="7200" w:type="dxa"/>
            <w:vAlign w:val="bottom"/>
            <w:gridSpan w:val="13"/>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480" w:type="dxa"/>
            <w:vAlign w:val="bottom"/>
            <w:gridSpan w:val="18"/>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10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FF"/>
            </w:tcBorders>
            <w:gridSpan w:val="13"/>
          </w:tcPr>
          <w:p>
            <w:pPr>
              <w:spacing w:after="0"/>
              <w:rPr>
                <w:sz w:val="20"/>
                <w:szCs w:val="20"/>
                <w:color w:val="auto"/>
              </w:rPr>
            </w:pPr>
            <w:r>
              <w:rPr>
                <w:rFonts w:ascii="Arial" w:cs="Arial" w:eastAsia="Arial" w:hAnsi="Arial"/>
                <w:sz w:val="17"/>
                <w:szCs w:val="17"/>
                <w:color w:val="0000FF"/>
              </w:rPr>
              <w:t>Defaults Upon Senior Securities</w:t>
            </w:r>
          </w:p>
        </w:tc>
        <w:tc>
          <w:tcPr>
            <w:tcW w:w="4320" w:type="dxa"/>
            <w:vAlign w:val="bottom"/>
            <w:gridSpan w:val="5"/>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7"/>
                <w:szCs w:val="17"/>
                <w:color w:val="0000FF"/>
                <w:w w:val="92"/>
              </w:rPr>
              <w:t>Mine Safety Disclosures</w:t>
            </w:r>
          </w:p>
        </w:tc>
        <w:tc>
          <w:tcPr>
            <w:tcW w:w="520" w:type="dxa"/>
            <w:vAlign w:val="bottom"/>
            <w:tcBorders>
              <w:top w:val="single" w:sz="8" w:color="0000FF"/>
            </w:tcBorders>
          </w:tcPr>
          <w:p>
            <w:pPr>
              <w:spacing w:after="0"/>
              <w:rPr>
                <w:sz w:val="17"/>
                <w:szCs w:val="17"/>
                <w:color w:val="auto"/>
              </w:rPr>
            </w:pPr>
          </w:p>
        </w:tc>
        <w:tc>
          <w:tcPr>
            <w:tcW w:w="6260" w:type="dxa"/>
            <w:vAlign w:val="bottom"/>
            <w:gridSpan w:val="10"/>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848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1060" w:type="dxa"/>
            <w:vAlign w:val="bottom"/>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480" w:type="dxa"/>
            <w:vAlign w:val="bottom"/>
            <w:gridSpan w:val="18"/>
          </w:tcPr>
          <w:p>
            <w:pPr>
              <w:spacing w:after="0"/>
              <w:rPr>
                <w:sz w:val="20"/>
                <w:szCs w:val="20"/>
                <w:color w:val="auto"/>
              </w:rPr>
            </w:pPr>
            <w:r>
              <w:rPr>
                <w:rFonts w:ascii="Arial" w:cs="Arial" w:eastAsia="Arial" w:hAnsi="Arial"/>
                <w:sz w:val="17"/>
                <w:szCs w:val="17"/>
                <w:color w:val="0000FF"/>
              </w:rPr>
              <w:t>Exhibits and Financial Statement Schedules</w:t>
            </w:r>
          </w:p>
        </w:tc>
        <w:tc>
          <w:tcPr>
            <w:tcW w:w="106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8"/>
              </w:rPr>
              <w:t>Signatures</w:t>
            </w:r>
          </w:p>
        </w:tc>
        <w:tc>
          <w:tcPr>
            <w:tcW w:w="640" w:type="dxa"/>
            <w:vAlign w:val="bottom"/>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9" w:lineRule="exact"/>
        <w:rPr>
          <w:sz w:val="20"/>
          <w:szCs w:val="20"/>
          <w:color w:val="auto"/>
        </w:rPr>
      </w:pPr>
    </w:p>
    <w:p>
      <w:pPr>
        <w:ind w:left="620" w:right="38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our operating expenses, our ability to determine reserves and our ability to achieve and maintain profitability;</w:t>
      </w:r>
    </w:p>
    <w:p>
      <w:pPr>
        <w:spacing w:after="0" w:line="9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 and our expectations that improvements in our AI models can lead to higher approval rates and lower interest rates;</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increase the volume of loans facilitated through our AI lending marketplace;</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maintain a diversified loan funding strategy, including bank partnerships and whole loan sales and securitization transactions;</w:t>
      </w:r>
    </w:p>
    <w:p>
      <w:pPr>
        <w:spacing w:after="0" w:line="9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capital allocation plans, including expectations regarding funding loans through our balance sheet and allocations of cash and timing for any share repurchases and other investments;</w:t>
      </w:r>
    </w:p>
    <w:p>
      <w:pPr>
        <w:spacing w:after="0" w:line="86"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maintain competitive interest rates offered to borrowers on our platform, while enabling our bank partners and institutional investors to achieve an adequate return over their cost of funding;</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build our brand and protect our reputation from negative publicity;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increase the effectiveness of our marketing strategies, including our direct consumer marketing initiatives;</w:t>
      </w:r>
    </w:p>
    <w:p>
      <w:pPr>
        <w:spacing w:after="0" w:line="25"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17"/>
          <w:szCs w:val="17"/>
          <w:color w:val="auto"/>
        </w:rPr>
        <w:t>our expectations regarding macroeconomic events, including rising interest and inflation rates and monetary policy changes;</w:t>
      </w:r>
    </w:p>
    <w:p>
      <w:pPr>
        <w:spacing w:after="0" w:line="118" w:lineRule="exact"/>
        <w:rPr>
          <w:rFonts w:ascii="Arial" w:cs="Arial" w:eastAsia="Arial" w:hAnsi="Arial"/>
          <w:sz w:val="21"/>
          <w:szCs w:val="21"/>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the COVID-19 pandemic and any associated economic downturn on our business and results of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management of future growth, including expanding the number of potential borrowers;</w:t>
      </w:r>
    </w:p>
    <w:p>
      <w:pPr>
        <w:spacing w:after="0" w:line="152"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adjust our proprietary AI models, products and services in a timely manner in response to changing macroeconomic conditions and fluctuations in the credit market;</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compliance with applicable local, state and federal laws;</w:t>
      </w:r>
    </w:p>
    <w:p>
      <w:pPr>
        <w:spacing w:after="0" w:line="152"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comply with and successfully adapt to complex and evolving regulatory environments, including regulation of artificial intelligence and machine learning technology;</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regulatory support of our approach to AI-based lending;</w:t>
      </w:r>
    </w:p>
    <w:p>
      <w:pPr>
        <w:spacing w:after="0" w:line="139"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success of our strategic investments and acquisitions, including the integration of acquired operations, products, technology, internal controls and personnel;</w:t>
      </w:r>
    </w:p>
    <w:p>
      <w:pPr>
        <w:spacing w:after="0" w:line="99"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new and evolving markets and our ability to enter into new markets and introduce new products and services, such as our introduction of auto loans, small dollar loans and small business loans;</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protect against increasingly sophisticated fraudulent borrowing and online theft;</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service loans and the ability of third-party collection agents, to pursue collection of delinquent and defaulted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compete with companies that are currently in, or may in the future enter, the markets in which we operate;</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secure and maintain the confidentiality of the information received, accessed, stored, provided and used across our systems;</w:t>
      </w:r>
    </w:p>
    <w:p>
      <w:pPr>
        <w:spacing w:after="0" w:line="151"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successfully obtain and maintain corporate funding and liquidity to support continued growth and for general corporate purposes;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attract, integrate and retain qualified employees;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an effective system of disclosure controls and internal control over financial reporting and operations;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effectively manage and expand the capabilities of our operations teams, outsourcing relationships and other business operations;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outstanding litigation and regulatory investigations; and</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manage the increased expenses associated with being a public company.</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review of, all potentially available relevant information. These statements are inherently uncertain, and investors are cautioned not to unduly rely upon these statements.</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181610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986,608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683,970</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145,956</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700,455</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40,990</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Operating lease right of 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96,118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87,475</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Non-marketable equity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41,000</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67,062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16,700</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line="168" w:lineRule="exact"/>
              <w:rPr>
                <w:sz w:val="20"/>
                <w:szCs w:val="20"/>
                <w:color w:val="auto"/>
              </w:rPr>
            </w:pPr>
            <w:r>
              <w:rPr>
                <w:rFonts w:ascii="Arial" w:cs="Arial" w:eastAsia="Arial" w:hAnsi="Arial"/>
                <w:sz w:val="17"/>
                <w:szCs w:val="17"/>
                <w:color w:val="auto"/>
                <w:w w:val="95"/>
              </w:rPr>
              <w:t>Other assets (includes $26,676 and $40,496 at fair value as of December 31, 2021 and September 30, 2022,</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129,392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131,702</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assets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1,915,310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6,563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10,916</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 to investors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93,844</w:t>
            </w: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Borrowings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695,432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918,917</w:t>
            </w: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4"/>
              </w:rPr>
              <w:t>Accrued expenses and other liabilities (includes $13,095 and $10,011 at fair value as of December 31, 2021</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September 30, 2022, respectively)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103,418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73,647</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100,366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99,418</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liabilities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1,013,377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1,196,742</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Common stock, $0.0001 par value; 700,000,000 shares authorized; 83,659,665 and 81,831,178 shares issued and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 and September 30, 2022,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740,849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705,741</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12,819</w:t>
            </w:r>
          </w:p>
        </w:tc>
        <w:tc>
          <w:tcPr>
            <w:tcW w:w="0" w:type="dxa"/>
            <w:vAlign w:val="bottom"/>
          </w:tcPr>
          <w:p>
            <w:pPr>
              <w:spacing w:after="0"/>
              <w:rPr>
                <w:sz w:val="1"/>
                <w:szCs w:val="1"/>
                <w:color w:val="auto"/>
              </w:rPr>
            </w:pPr>
          </w:p>
        </w:tc>
      </w:tr>
      <w:tr>
        <w:trPr>
          <w:trHeight w:val="211"/>
        </w:trPr>
        <w:tc>
          <w:tcPr>
            <w:tcW w:w="7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807,078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718,568</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1,915,310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211" w:lineRule="exact"/>
        <w:rPr>
          <w:sz w:val="20"/>
          <w:szCs w:val="20"/>
          <w:color w:val="auto"/>
        </w:rPr>
      </w:pPr>
    </w:p>
    <w:p>
      <w:pPr>
        <w:jc w:val="both"/>
        <w:ind w:left="320" w:hanging="317"/>
        <w:spacing w:after="0" w:line="216" w:lineRule="auto"/>
        <w:tabs>
          <w:tab w:leader="none" w:pos="315"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2021 and September 30, 2022.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24"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68"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7,700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949</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31,602</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245,972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674,955</w:t>
            </w:r>
          </w:p>
        </w:tc>
      </w:tr>
      <w:tr>
        <w:trPr>
          <w:trHeight w:val="169"/>
        </w:trPr>
        <w:tc>
          <w:tcPr>
            <w:tcW w:w="78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7"/>
              </w:rPr>
              <w:t>Other assets (includes $7,571 and $3,163 at fair value as of December 31, 2021 and September 30, 2022,</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1"/>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10,920</w:t>
            </w:r>
          </w:p>
        </w:tc>
      </w:tr>
      <w:tr>
        <w:trPr>
          <w:trHeight w:val="213"/>
        </w:trPr>
        <w:tc>
          <w:tcPr>
            <w:tcW w:w="78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342,025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718,426</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269,663</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2,268</w:t>
            </w:r>
          </w:p>
        </w:tc>
      </w:tr>
      <w:tr>
        <w:trPr>
          <w:trHeight w:val="212"/>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49,314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271,931</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Total net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292,711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446,495</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31"/>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5"/>
          </w:tcPr>
          <w:p>
            <w:pPr>
              <w:ind w:left="120"/>
              <w:spacing w:after="0"/>
              <w:rPr>
                <w:sz w:val="20"/>
                <w:szCs w:val="20"/>
                <w:color w:val="auto"/>
              </w:rPr>
            </w:pPr>
            <w:r>
              <w:rPr>
                <w:rFonts w:ascii="Arial" w:cs="Arial" w:eastAsia="Arial" w:hAnsi="Arial"/>
                <w:sz w:val="17"/>
                <w:szCs w:val="17"/>
                <w:b w:val="1"/>
                <w:bCs w:val="1"/>
                <w:color w:val="auto"/>
              </w:rPr>
              <w:t>Three Months Ended September 30,</w:t>
            </w:r>
          </w:p>
        </w:tc>
        <w:tc>
          <w:tcPr>
            <w:tcW w:w="380" w:type="dxa"/>
            <w:vAlign w:val="bottom"/>
          </w:tcPr>
          <w:p>
            <w:pPr>
              <w:spacing w:after="0"/>
              <w:rPr>
                <w:sz w:val="20"/>
                <w:szCs w:val="20"/>
                <w:color w:val="auto"/>
              </w:rPr>
            </w:pPr>
          </w:p>
        </w:tc>
        <w:tc>
          <w:tcPr>
            <w:tcW w:w="1920" w:type="dxa"/>
            <w:vAlign w:val="bottom"/>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Pr>
          <w:p>
            <w:pPr>
              <w:spacing w:after="0"/>
              <w:rPr>
                <w:sz w:val="20"/>
                <w:szCs w:val="20"/>
                <w:color w:val="auto"/>
              </w:rPr>
            </w:pPr>
          </w:p>
        </w:tc>
      </w:tr>
      <w:tr>
        <w:trPr>
          <w:trHeight w:val="213"/>
        </w:trPr>
        <w:tc>
          <w:tcPr>
            <w:tcW w:w="4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19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Revenue from fees, net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210,421</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179,348</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513,888</w:t>
            </w:r>
          </w:p>
        </w:tc>
        <w:tc>
          <w:tcPr>
            <w:tcW w:w="8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751,675</w:t>
            </w: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 and 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(56,144)</w:t>
            </w:r>
          </w:p>
        </w:tc>
      </w:tr>
      <w:tr>
        <w:trPr>
          <w:trHeight w:val="211"/>
        </w:trPr>
        <w:tc>
          <w:tcPr>
            <w:tcW w:w="44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228,450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157,233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543,741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695,531</w:t>
            </w:r>
          </w:p>
        </w:tc>
      </w:tr>
      <w:tr>
        <w:trPr>
          <w:trHeight w:val="20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93,346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56,362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218,638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295,023</w:t>
            </w: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operations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144,507</w:t>
            </w: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Engineering and product development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66,182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87,504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173,218</w:t>
            </w: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administrative, and other</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80,602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138,148</w:t>
            </w:r>
          </w:p>
        </w:tc>
      </w:tr>
      <w:tr>
        <w:trPr>
          <w:trHeight w:val="211"/>
        </w:trPr>
        <w:tc>
          <w:tcPr>
            <w:tcW w:w="44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463,274</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750,896</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(55,365)</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74,464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(53,347)</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provision for income taxes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76,499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(53,402)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(0.69)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0.81</w:t>
            </w:r>
          </w:p>
        </w:tc>
        <w:tc>
          <w:tcPr>
            <w:tcW w:w="8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(0.64)</w:t>
            </w: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Weighted-average number of shares outstanding used in</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computing net income (loss) per share, basic</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79,392,600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81,672,099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76,586,395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83,236,131</w:t>
            </w:r>
          </w:p>
        </w:tc>
      </w:tr>
      <w:tr>
        <w:trPr>
          <w:trHeight w:val="168"/>
        </w:trPr>
        <w:tc>
          <w:tcPr>
            <w:tcW w:w="4420" w:type="dxa"/>
            <w:vAlign w:val="bottom"/>
          </w:tcPr>
          <w:p>
            <w:pPr>
              <w:ind w:left="20"/>
              <w:spacing w:after="0" w:line="168" w:lineRule="exact"/>
              <w:rPr>
                <w:sz w:val="20"/>
                <w:szCs w:val="20"/>
                <w:color w:val="auto"/>
              </w:rPr>
            </w:pPr>
            <w:r>
              <w:rPr>
                <w:rFonts w:ascii="Arial" w:cs="Arial" w:eastAsia="Arial" w:hAnsi="Arial"/>
                <w:sz w:val="17"/>
                <w:szCs w:val="17"/>
                <w:color w:val="auto"/>
              </w:rPr>
              <w:t>Weighted-average number of shares outstanding used in</w:t>
            </w: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7"/>
                <w:szCs w:val="17"/>
                <w:color w:val="auto"/>
              </w:rPr>
              <w:t>computing net income (loss) per share, diluted</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96,057,210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81,672,099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94,165,325</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83,236,131</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p>
      <w:pPr>
        <w:jc w:val="right"/>
        <w:ind w:right="2380"/>
        <w:spacing w:after="0"/>
        <w:rPr>
          <w:sz w:val="20"/>
          <w:szCs w:val="20"/>
          <w:color w:val="auto"/>
        </w:rPr>
      </w:pPr>
      <w:r>
        <w:rPr>
          <w:rFonts w:ascii="Arial" w:cs="Arial" w:eastAsia="Arial" w:hAnsi="Arial"/>
          <w:sz w:val="17"/>
          <w:szCs w:val="17"/>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34925</wp:posOffset>
            </wp:positionV>
            <wp:extent cx="4960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60620" cy="825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June 30, 2021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Issuance of common stock upon exercise of stock options</w:t>
      </w:r>
    </w:p>
    <w:p>
      <w:pPr>
        <w:spacing w:after="0" w:line="44" w:lineRule="exact"/>
        <w:rPr>
          <w:sz w:val="20"/>
          <w:szCs w:val="20"/>
          <w:color w:val="auto"/>
        </w:rPr>
      </w:pPr>
    </w:p>
    <w:p>
      <w:pPr>
        <w:ind w:left="20"/>
        <w:spacing w:after="0" w:line="235" w:lineRule="auto"/>
        <w:rPr>
          <w:sz w:val="20"/>
          <w:szCs w:val="20"/>
          <w:color w:val="auto"/>
        </w:rPr>
      </w:pPr>
      <w:r>
        <w:rPr>
          <w:rFonts w:ascii="Arial" w:cs="Arial" w:eastAsia="Arial" w:hAnsi="Arial"/>
          <w:sz w:val="14"/>
          <w:szCs w:val="14"/>
          <w:color w:val="auto"/>
        </w:rPr>
        <w:t>Issuance of common stock upon settlement of restricted stock units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32" w:lineRule="exact"/>
        <w:rPr>
          <w:sz w:val="20"/>
          <w:szCs w:val="20"/>
          <w:color w:val="auto"/>
        </w:rPr>
      </w:pPr>
    </w:p>
    <w:p>
      <w:pPr>
        <w:ind w:left="20" w:right="160"/>
        <w:spacing w:after="0" w:line="235" w:lineRule="auto"/>
        <w:rPr>
          <w:sz w:val="20"/>
          <w:szCs w:val="20"/>
          <w:color w:val="auto"/>
        </w:rPr>
      </w:pPr>
      <w:r>
        <w:rPr>
          <w:rFonts w:ascii="Arial" w:cs="Arial" w:eastAsia="Arial" w:hAnsi="Arial"/>
          <w:sz w:val="14"/>
          <w:szCs w:val="14"/>
          <w:color w:val="auto"/>
        </w:rPr>
        <w:t>Issuance of common stock under employee stock purchase plan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capped calls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September 30, 2021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3"/>
            <w:vMerge w:val="restart"/>
          </w:tcPr>
          <w:p>
            <w:pPr>
              <w:jc w:val="right"/>
              <w:ind w:right="65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Retained Earnings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7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Additional Paid-in</w:t>
            </w:r>
          </w:p>
        </w:tc>
        <w:tc>
          <w:tcPr>
            <w:tcW w:w="140" w:type="dxa"/>
            <w:vAlign w:val="bottom"/>
          </w:tcPr>
          <w:p>
            <w:pPr>
              <w:spacing w:after="0"/>
              <w:rPr>
                <w:sz w:val="8"/>
                <w:szCs w:val="8"/>
                <w:color w:val="auto"/>
              </w:rPr>
            </w:pPr>
          </w:p>
        </w:tc>
        <w:tc>
          <w:tcPr>
            <w:tcW w:w="1440" w:type="dxa"/>
            <w:vAlign w:val="bottom"/>
            <w:gridSpan w:val="2"/>
            <w:vMerge w:val="restart"/>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8"/>
                <w:szCs w:val="8"/>
                <w:color w:val="auto"/>
              </w:rPr>
            </w:pPr>
          </w:p>
        </w:tc>
        <w:tc>
          <w:tcPr>
            <w:tcW w:w="1360" w:type="dxa"/>
            <w:vAlign w:val="bottom"/>
            <w:vMerge w:val="restart"/>
          </w:tcPr>
          <w:p>
            <w:pPr>
              <w:jc w:val="right"/>
              <w:ind w:right="112"/>
              <w:spacing w:after="0" w:line="119" w:lineRule="exact"/>
              <w:rPr>
                <w:sz w:val="20"/>
                <w:szCs w:val="20"/>
                <w:color w:val="auto"/>
              </w:rPr>
            </w:pPr>
            <w:r>
              <w:rPr>
                <w:rFonts w:ascii="Arial" w:cs="Arial" w:eastAsia="Arial" w:hAnsi="Arial"/>
                <w:sz w:val="13"/>
                <w:szCs w:val="13"/>
                <w:b w:val="1"/>
                <w:bCs w:val="1"/>
                <w:color w:val="auto"/>
                <w:w w:val="96"/>
              </w:rPr>
              <w:t>Total Stockholders’</w:t>
            </w:r>
          </w:p>
        </w:tc>
        <w:tc>
          <w:tcPr>
            <w:tcW w:w="0" w:type="dxa"/>
            <w:vAlign w:val="bottom"/>
          </w:tcPr>
          <w:p>
            <w:pPr>
              <w:spacing w:after="0"/>
              <w:rPr>
                <w:sz w:val="1"/>
                <w:szCs w:val="1"/>
                <w:color w:val="auto"/>
              </w:rPr>
            </w:pPr>
          </w:p>
        </w:tc>
      </w:tr>
      <w:tr>
        <w:trPr>
          <w:trHeight w:val="24"/>
        </w:trPr>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5"/>
                <w:szCs w:val="15"/>
                <w:color w:val="auto"/>
              </w:rPr>
            </w:pPr>
          </w:p>
        </w:tc>
        <w:tc>
          <w:tcPr>
            <w:tcW w:w="1360" w:type="dxa"/>
            <w:vAlign w:val="bottom"/>
          </w:tcPr>
          <w:p>
            <w:pPr>
              <w:jc w:val="right"/>
              <w:ind w:right="4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5"/>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77,626,866</w:t>
            </w:r>
          </w:p>
        </w:tc>
        <w:tc>
          <w:tcPr>
            <w:tcW w:w="8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737,924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(21,836)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716,096</w:t>
            </w:r>
          </w:p>
        </w:tc>
        <w:tc>
          <w:tcPr>
            <w:tcW w:w="0" w:type="dxa"/>
            <w:vAlign w:val="bottom"/>
          </w:tcPr>
          <w:p>
            <w:pPr>
              <w:spacing w:after="0"/>
              <w:rPr>
                <w:sz w:val="1"/>
                <w:szCs w:val="1"/>
                <w:color w:val="auto"/>
              </w:rPr>
            </w:pPr>
          </w:p>
        </w:tc>
      </w:tr>
      <w:tr>
        <w:trPr>
          <w:trHeight w:val="174"/>
        </w:trPr>
        <w:tc>
          <w:tcPr>
            <w:tcW w:w="1480" w:type="dxa"/>
            <w:vAlign w:val="bottom"/>
          </w:tcPr>
          <w:p>
            <w:pPr>
              <w:jc w:val="right"/>
              <w:spacing w:after="0"/>
              <w:rPr>
                <w:sz w:val="20"/>
                <w:szCs w:val="20"/>
                <w:color w:val="auto"/>
              </w:rPr>
            </w:pPr>
            <w:r>
              <w:rPr>
                <w:rFonts w:ascii="Arial" w:cs="Arial" w:eastAsia="Arial" w:hAnsi="Arial"/>
                <w:sz w:val="14"/>
                <w:szCs w:val="14"/>
                <w:color w:val="auto"/>
              </w:rPr>
              <w:t>3,656,385</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6,841</w:t>
            </w:r>
          </w:p>
        </w:tc>
        <w:tc>
          <w:tcPr>
            <w:tcW w:w="0" w:type="dxa"/>
            <w:vAlign w:val="bottom"/>
          </w:tcPr>
          <w:p>
            <w:pPr>
              <w:spacing w:after="0"/>
              <w:rPr>
                <w:sz w:val="1"/>
                <w:szCs w:val="1"/>
                <w:color w:val="auto"/>
              </w:rPr>
            </w:pPr>
          </w:p>
        </w:tc>
      </w:tr>
      <w:tr>
        <w:trPr>
          <w:trHeight w:val="317"/>
        </w:trPr>
        <w:tc>
          <w:tcPr>
            <w:tcW w:w="1480" w:type="dxa"/>
            <w:vAlign w:val="bottom"/>
          </w:tcPr>
          <w:p>
            <w:pPr>
              <w:jc w:val="right"/>
              <w:spacing w:after="0"/>
              <w:rPr>
                <w:sz w:val="20"/>
                <w:szCs w:val="20"/>
                <w:color w:val="auto"/>
              </w:rPr>
            </w:pPr>
            <w:r>
              <w:rPr>
                <w:rFonts w:ascii="Arial" w:cs="Arial" w:eastAsia="Arial" w:hAnsi="Arial"/>
                <w:sz w:val="14"/>
                <w:szCs w:val="14"/>
                <w:color w:val="auto"/>
              </w:rPr>
              <w:t>12,571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21,417</w:t>
            </w:r>
          </w:p>
        </w:tc>
        <w:tc>
          <w:tcPr>
            <w:tcW w:w="0" w:type="dxa"/>
            <w:vAlign w:val="bottom"/>
          </w:tcPr>
          <w:p>
            <w:pPr>
              <w:spacing w:after="0"/>
              <w:rPr>
                <w:sz w:val="1"/>
                <w:szCs w:val="1"/>
                <w:color w:val="auto"/>
              </w:rPr>
            </w:pPr>
          </w:p>
        </w:tc>
      </w:tr>
      <w:tr>
        <w:trPr>
          <w:trHeight w:val="322"/>
        </w:trPr>
        <w:tc>
          <w:tcPr>
            <w:tcW w:w="1480" w:type="dxa"/>
            <w:vAlign w:val="bottom"/>
          </w:tcPr>
          <w:p>
            <w:pPr>
              <w:jc w:val="right"/>
              <w:spacing w:after="0"/>
              <w:rPr>
                <w:sz w:val="20"/>
                <w:szCs w:val="20"/>
                <w:color w:val="auto"/>
              </w:rPr>
            </w:pPr>
            <w:r>
              <w:rPr>
                <w:rFonts w:ascii="Arial" w:cs="Arial" w:eastAsia="Arial" w:hAnsi="Arial"/>
                <w:sz w:val="14"/>
                <w:szCs w:val="14"/>
                <w:color w:val="auto"/>
              </w:rPr>
              <w:t>243,725</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4,145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93"/>
        </w:trPr>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(58,523)</w:t>
            </w:r>
          </w:p>
        </w:tc>
        <w:tc>
          <w:tcPr>
            <w:tcW w:w="0" w:type="dxa"/>
            <w:vAlign w:val="bottom"/>
          </w:tcPr>
          <w:p>
            <w:pPr>
              <w:spacing w:after="0"/>
              <w:rPr>
                <w:sz w:val="1"/>
                <w:szCs w:val="1"/>
                <w:color w:val="auto"/>
              </w:rPr>
            </w:pPr>
          </w:p>
        </w:tc>
      </w:tr>
      <w:tr>
        <w:trPr>
          <w:trHeight w:val="193"/>
        </w:trPr>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29,113</w:t>
            </w:r>
          </w:p>
        </w:tc>
        <w:tc>
          <w:tcPr>
            <w:tcW w:w="0" w:type="dxa"/>
            <w:vAlign w:val="bottom"/>
          </w:tcPr>
          <w:p>
            <w:pPr>
              <w:spacing w:after="0"/>
              <w:rPr>
                <w:sz w:val="1"/>
                <w:szCs w:val="1"/>
                <w:color w:val="auto"/>
              </w:rPr>
            </w:pPr>
          </w:p>
        </w:tc>
      </w:tr>
      <w:tr>
        <w:trPr>
          <w:trHeight w:val="24"/>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81,539,547</w:t>
            </w:r>
          </w:p>
        </w:tc>
        <w:tc>
          <w:tcPr>
            <w:tcW w:w="80" w:type="dxa"/>
            <w:vAlign w:val="bottom"/>
          </w:tcPr>
          <w:p>
            <w:pPr>
              <w:spacing w:after="0"/>
              <w:rPr>
                <w:sz w:val="15"/>
                <w:szCs w:val="15"/>
                <w:color w:val="auto"/>
              </w:rPr>
            </w:pPr>
          </w:p>
        </w:tc>
        <w:tc>
          <w:tcPr>
            <w:tcW w:w="1140" w:type="dxa"/>
            <w:vAlign w:val="bottom"/>
            <w:tcBorders>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711,804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7,277</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719,089</w:t>
            </w:r>
          </w:p>
        </w:tc>
        <w:tc>
          <w:tcPr>
            <w:tcW w:w="0" w:type="dxa"/>
            <w:vAlign w:val="bottom"/>
          </w:tcPr>
          <w:p>
            <w:pPr>
              <w:spacing w:after="0"/>
              <w:rPr>
                <w:sz w:val="1"/>
                <w:szCs w:val="1"/>
                <w:color w:val="auto"/>
              </w:rPr>
            </w:pPr>
          </w:p>
        </w:tc>
      </w:tr>
      <w:tr>
        <w:trPr>
          <w:trHeight w:val="26"/>
        </w:trPr>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-1202690</wp:posOffset>
            </wp:positionV>
            <wp:extent cx="7138670" cy="130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-941070</wp:posOffset>
            </wp:positionV>
            <wp:extent cx="7138670" cy="204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-613410</wp:posOffset>
            </wp:positionV>
            <wp:extent cx="7138670" cy="204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-285750</wp:posOffset>
            </wp:positionV>
            <wp:extent cx="7138670" cy="122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225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49606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60620" cy="825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3400" w:space="40"/>
            <w:col w:w="780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700" w:type="dxa"/>
            <w:vAlign w:val="bottom"/>
            <w:gridSpan w:val="3"/>
            <w:vMerge w:val="restart"/>
          </w:tcPr>
          <w:p>
            <w:pPr>
              <w:jc w:val="right"/>
              <w:ind w:right="651"/>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Retained Earnings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0"/>
              </w:rPr>
              <w:t>Additional Paid-in</w:t>
            </w:r>
          </w:p>
        </w:tc>
        <w:tc>
          <w:tcPr>
            <w:tcW w:w="140" w:type="dxa"/>
            <w:vAlign w:val="bottom"/>
          </w:tcPr>
          <w:p>
            <w:pPr>
              <w:spacing w:after="0"/>
              <w:rPr>
                <w:sz w:val="9"/>
                <w:szCs w:val="9"/>
                <w:color w:val="auto"/>
              </w:rPr>
            </w:pPr>
          </w:p>
        </w:tc>
        <w:tc>
          <w:tcPr>
            <w:tcW w:w="144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9"/>
                <w:szCs w:val="9"/>
                <w:color w:val="auto"/>
              </w:rPr>
            </w:pPr>
          </w:p>
        </w:tc>
        <w:tc>
          <w:tcPr>
            <w:tcW w:w="1360" w:type="dxa"/>
            <w:vAlign w:val="bottom"/>
            <w:vMerge w:val="restart"/>
          </w:tcPr>
          <w:p>
            <w:pPr>
              <w:jc w:val="right"/>
              <w:ind w:right="111"/>
              <w:spacing w:after="0" w:line="122" w:lineRule="exact"/>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40" w:type="dxa"/>
            <w:vAlign w:val="bottom"/>
          </w:tcPr>
          <w:p>
            <w:pPr>
              <w:spacing w:after="0"/>
              <w:rPr>
                <w:sz w:val="15"/>
                <w:szCs w:val="15"/>
                <w:color w:val="auto"/>
              </w:rPr>
            </w:pPr>
          </w:p>
        </w:tc>
        <w:tc>
          <w:tcPr>
            <w:tcW w:w="15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140" w:type="dxa"/>
            <w:vAlign w:val="bottom"/>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5"/>
                <w:szCs w:val="15"/>
                <w:color w:val="auto"/>
              </w:rPr>
            </w:pPr>
          </w:p>
        </w:tc>
        <w:tc>
          <w:tcPr>
            <w:tcW w:w="1360" w:type="dxa"/>
            <w:vAlign w:val="bottom"/>
          </w:tcPr>
          <w:p>
            <w:pPr>
              <w:jc w:val="right"/>
              <w:ind w:right="4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73,314,026</w:t>
            </w: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7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369,467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(69,222)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w w:val="94"/>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4,941,362</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88"/>
              </w:rPr>
              <w:t>Issuance of common stock upon settlement of restricted stock</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19,017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Exercise of common stock warrants</w:t>
            </w:r>
          </w:p>
        </w:tc>
        <w:tc>
          <w:tcPr>
            <w:tcW w:w="1480" w:type="dxa"/>
            <w:vAlign w:val="bottom"/>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52,245</w:t>
            </w:r>
          </w:p>
        </w:tc>
        <w:tc>
          <w:tcPr>
            <w:tcW w:w="0" w:type="dxa"/>
            <w:vAlign w:val="bottom"/>
          </w:tcPr>
          <w:p>
            <w:pPr>
              <w:spacing w:after="0"/>
              <w:rPr>
                <w:sz w:val="1"/>
                <w:szCs w:val="1"/>
                <w:color w:val="auto"/>
              </w:rPr>
            </w:pPr>
          </w:p>
        </w:tc>
      </w:tr>
      <w:tr>
        <w:trPr>
          <w:trHeight w:val="129"/>
        </w:trPr>
        <w:tc>
          <w:tcPr>
            <w:tcW w:w="3440" w:type="dxa"/>
            <w:vAlign w:val="bottom"/>
          </w:tcPr>
          <w:p>
            <w:pPr>
              <w:ind w:left="20"/>
              <w:spacing w:after="0" w:line="129" w:lineRule="exact"/>
              <w:rPr>
                <w:sz w:val="20"/>
                <w:szCs w:val="20"/>
                <w:color w:val="auto"/>
              </w:rPr>
            </w:pPr>
            <w:r>
              <w:rPr>
                <w:rFonts w:ascii="Arial" w:cs="Arial" w:eastAsia="Arial" w:hAnsi="Arial"/>
                <w:sz w:val="14"/>
                <w:szCs w:val="14"/>
                <w:color w:val="auto"/>
                <w:w w:val="91"/>
              </w:rPr>
              <w:t>Shares withheld related to net share settlement of restricted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in connection with acquisition</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29"/>
        </w:trPr>
        <w:tc>
          <w:tcPr>
            <w:tcW w:w="3440" w:type="dxa"/>
            <w:vAlign w:val="bottom"/>
          </w:tcPr>
          <w:p>
            <w:pPr>
              <w:ind w:left="20"/>
              <w:spacing w:after="0" w:line="129" w:lineRule="exact"/>
              <w:rPr>
                <w:sz w:val="20"/>
                <w:szCs w:val="20"/>
                <w:color w:val="auto"/>
              </w:rPr>
            </w:pPr>
            <w:r>
              <w:rPr>
                <w:rFonts w:ascii="Arial" w:cs="Arial" w:eastAsia="Arial" w:hAnsi="Arial"/>
                <w:sz w:val="14"/>
                <w:szCs w:val="14"/>
                <w:color w:val="auto"/>
                <w:w w:val="99"/>
              </w:rPr>
              <w:t>Issuance of common stock in connection with follow-on</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40" w:type="dxa"/>
            <w:vAlign w:val="bottom"/>
          </w:tcPr>
          <w:p>
            <w:pPr>
              <w:ind w:left="20"/>
              <w:spacing w:after="0" w:line="137" w:lineRule="exact"/>
              <w:rPr>
                <w:sz w:val="20"/>
                <w:szCs w:val="20"/>
                <w:color w:val="auto"/>
              </w:rPr>
            </w:pPr>
            <w:r>
              <w:rPr>
                <w:rFonts w:ascii="Arial" w:cs="Arial" w:eastAsia="Arial" w:hAnsi="Arial"/>
                <w:sz w:val="14"/>
                <w:szCs w:val="14"/>
                <w:color w:val="auto"/>
                <w:w w:val="96"/>
              </w:rPr>
              <w:t>offering, net of underwriting discounts, commissions, and</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40" w:type="dxa"/>
            <w:vAlign w:val="bottom"/>
          </w:tcPr>
          <w:p>
            <w:pPr>
              <w:ind w:left="20"/>
              <w:spacing w:after="0"/>
              <w:rPr>
                <w:sz w:val="20"/>
                <w:szCs w:val="20"/>
                <w:color w:val="auto"/>
              </w:rPr>
            </w:pPr>
            <w:r>
              <w:rPr>
                <w:rFonts w:ascii="Arial" w:cs="Arial" w:eastAsia="Arial" w:hAnsi="Arial"/>
                <w:sz w:val="14"/>
                <w:szCs w:val="14"/>
                <w:color w:val="auto"/>
              </w:rPr>
              <w:t>offering costs</w:t>
            </w:r>
          </w:p>
        </w:tc>
        <w:tc>
          <w:tcPr>
            <w:tcW w:w="1480" w:type="dxa"/>
            <w:vAlign w:val="bottom"/>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2"/>
              </w:rPr>
              <w:t>Issuance of common stock under employee stock purchase</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243,725</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93"/>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40" w:type="dxa"/>
            <w:vAlign w:val="bottom"/>
          </w:tcPr>
          <w:p>
            <w:pPr>
              <w:ind w:left="20"/>
              <w:spacing w:after="0"/>
              <w:rPr>
                <w:sz w:val="20"/>
                <w:szCs w:val="20"/>
                <w:color w:val="auto"/>
              </w:rPr>
            </w:pPr>
            <w:r>
              <w:rPr>
                <w:rFonts w:ascii="Arial" w:cs="Arial" w:eastAsia="Arial" w:hAnsi="Arial"/>
                <w:sz w:val="14"/>
                <w:szCs w:val="14"/>
                <w:color w:val="auto"/>
              </w:rPr>
              <w:t>Purchase of capped calls</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(58,523)</w:t>
            </w: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76,499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76,499</w:t>
            </w:r>
          </w:p>
        </w:tc>
        <w:tc>
          <w:tcPr>
            <w:tcW w:w="0" w:type="dxa"/>
            <w:vAlign w:val="bottom"/>
          </w:tcPr>
          <w:p>
            <w:pPr>
              <w:spacing w:after="0"/>
              <w:rPr>
                <w:sz w:val="1"/>
                <w:szCs w:val="1"/>
                <w:color w:val="auto"/>
              </w:rPr>
            </w:pPr>
          </w:p>
        </w:tc>
      </w:tr>
      <w:tr>
        <w:trPr>
          <w:trHeight w:val="193"/>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81,539,547</w:t>
            </w:r>
          </w:p>
        </w:tc>
        <w:tc>
          <w:tcPr>
            <w:tcW w:w="8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971"/>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711,804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7,277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719,089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00" w:type="dxa"/>
            <w:vAlign w:val="bottom"/>
            <w:gridSpan w:val="8"/>
          </w:tcPr>
          <w:p>
            <w:pPr>
              <w:jc w:val="center"/>
              <w:ind w:right="540"/>
              <w:spacing w:after="0"/>
              <w:rPr>
                <w:sz w:val="20"/>
                <w:szCs w:val="20"/>
                <w:color w:val="auto"/>
              </w:rPr>
            </w:pPr>
            <w:r>
              <w:rPr>
                <w:rFonts w:ascii="Arial" w:cs="Arial" w:eastAsia="Arial" w:hAnsi="Arial"/>
                <w:sz w:val="17"/>
                <w:szCs w:val="17"/>
                <w:b w:val="1"/>
                <w:bCs w:val="1"/>
                <w:color w:val="auto"/>
                <w:w w:val="91"/>
              </w:rPr>
              <w:t>Three Months Ended September 30, 2022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Additional Paid-in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82,188,372</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688,021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69,042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757,071</w:t>
            </w: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w w:val="93"/>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270,390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6"/>
        </w:trPr>
        <w:tc>
          <w:tcPr>
            <w:tcW w:w="340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7"/>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400" w:type="dxa"/>
            <w:vAlign w:val="bottom"/>
          </w:tcPr>
          <w:p>
            <w:pPr>
              <w:ind w:left="20"/>
              <w:spacing w:after="0" w:line="137" w:lineRule="exact"/>
              <w:rPr>
                <w:sz w:val="20"/>
                <w:szCs w:val="20"/>
                <w:color w:val="auto"/>
              </w:rPr>
            </w:pPr>
            <w:r>
              <w:rPr>
                <w:rFonts w:ascii="Arial" w:cs="Arial" w:eastAsia="Arial" w:hAnsi="Arial"/>
                <w:sz w:val="14"/>
                <w:szCs w:val="14"/>
                <w:color w:val="auto"/>
                <w:w w:val="90"/>
              </w:rPr>
              <w:t>Shares withheld related to net share settlement of restricted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188,726</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38,206</w:t>
            </w:r>
          </w:p>
        </w:tc>
        <w:tc>
          <w:tcPr>
            <w:tcW w:w="0" w:type="dxa"/>
            <w:vAlign w:val="bottom"/>
          </w:tcPr>
          <w:p>
            <w:pPr>
              <w:spacing w:after="0"/>
              <w:rPr>
                <w:sz w:val="1"/>
                <w:szCs w:val="1"/>
                <w:color w:val="auto"/>
              </w:rPr>
            </w:pPr>
          </w:p>
        </w:tc>
      </w:tr>
      <w:tr>
        <w:trPr>
          <w:trHeight w:val="136"/>
        </w:trPr>
        <w:tc>
          <w:tcPr>
            <w:tcW w:w="3400" w:type="dxa"/>
            <w:vAlign w:val="bottom"/>
          </w:tcPr>
          <w:p>
            <w:pPr>
              <w:ind w:left="20"/>
              <w:spacing w:after="0" w:line="137" w:lineRule="exact"/>
              <w:rPr>
                <w:sz w:val="20"/>
                <w:szCs w:val="20"/>
                <w:color w:val="auto"/>
              </w:rPr>
            </w:pPr>
            <w:r>
              <w:rPr>
                <w:rFonts w:ascii="Arial" w:cs="Arial" w:eastAsia="Arial" w:hAnsi="Arial"/>
                <w:sz w:val="14"/>
                <w:szCs w:val="14"/>
                <w:color w:val="auto"/>
                <w:w w:val="91"/>
              </w:rPr>
              <w:t>Issuance of common stock under employee stock purchase</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114,902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3,231</w:t>
            </w: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(930,893)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(25,028)</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(56,223)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(56,223)</w:t>
            </w:r>
          </w:p>
        </w:tc>
        <w:tc>
          <w:tcPr>
            <w:tcW w:w="0" w:type="dxa"/>
            <w:vAlign w:val="bottom"/>
          </w:tcPr>
          <w:p>
            <w:pPr>
              <w:spacing w:after="0"/>
              <w:rPr>
                <w:sz w:val="1"/>
                <w:szCs w:val="1"/>
                <w:color w:val="auto"/>
              </w:rPr>
            </w:pPr>
          </w:p>
        </w:tc>
      </w:tr>
      <w:tr>
        <w:trPr>
          <w:trHeight w:val="21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81,831,178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718,568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00" w:type="dxa"/>
            <w:vAlign w:val="bottom"/>
            <w:gridSpan w:val="8"/>
          </w:tcPr>
          <w:p>
            <w:pPr>
              <w:jc w:val="center"/>
              <w:ind w:right="540"/>
              <w:spacing w:after="0"/>
              <w:rPr>
                <w:sz w:val="20"/>
                <w:szCs w:val="20"/>
                <w:color w:val="auto"/>
              </w:rPr>
            </w:pPr>
            <w:r>
              <w:rPr>
                <w:rFonts w:ascii="Arial" w:cs="Arial" w:eastAsia="Arial" w:hAnsi="Arial"/>
                <w:sz w:val="17"/>
                <w:szCs w:val="17"/>
                <w:b w:val="1"/>
                <w:bCs w:val="1"/>
                <w:color w:val="auto"/>
                <w:w w:val="91"/>
              </w:rPr>
              <w:t>Nine Months Ended September 30, 2022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Additional Paid-in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83,659,665</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740,849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807,078</w:t>
            </w: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w w:val="93"/>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2,074,763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10,726</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179,559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400" w:type="dxa"/>
            <w:vAlign w:val="bottom"/>
          </w:tcPr>
          <w:p>
            <w:pPr>
              <w:ind w:left="20"/>
              <w:spacing w:after="0" w:line="129" w:lineRule="exact"/>
              <w:rPr>
                <w:sz w:val="20"/>
                <w:szCs w:val="20"/>
                <w:color w:val="auto"/>
              </w:rPr>
            </w:pPr>
            <w:r>
              <w:rPr>
                <w:rFonts w:ascii="Arial" w:cs="Arial" w:eastAsia="Arial" w:hAnsi="Arial"/>
                <w:sz w:val="14"/>
                <w:szCs w:val="14"/>
                <w:color w:val="auto"/>
                <w:w w:val="90"/>
              </w:rPr>
              <w:t>Shares withheld related to net share settlement of restricted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188,726</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96,582</w:t>
            </w:r>
          </w:p>
        </w:tc>
        <w:tc>
          <w:tcPr>
            <w:tcW w:w="0" w:type="dxa"/>
            <w:vAlign w:val="bottom"/>
          </w:tcPr>
          <w:p>
            <w:pPr>
              <w:spacing w:after="0"/>
              <w:rPr>
                <w:sz w:val="1"/>
                <w:szCs w:val="1"/>
                <w:color w:val="auto"/>
              </w:rPr>
            </w:pPr>
          </w:p>
        </w:tc>
      </w:tr>
      <w:tr>
        <w:trPr>
          <w:trHeight w:val="129"/>
        </w:trPr>
        <w:tc>
          <w:tcPr>
            <w:tcW w:w="3400" w:type="dxa"/>
            <w:vAlign w:val="bottom"/>
          </w:tcPr>
          <w:p>
            <w:pPr>
              <w:ind w:left="20"/>
              <w:spacing w:after="0" w:line="129" w:lineRule="exact"/>
              <w:rPr>
                <w:sz w:val="20"/>
                <w:szCs w:val="20"/>
                <w:color w:val="auto"/>
              </w:rPr>
            </w:pPr>
            <w:r>
              <w:rPr>
                <w:rFonts w:ascii="Arial" w:cs="Arial" w:eastAsia="Arial" w:hAnsi="Arial"/>
                <w:sz w:val="14"/>
                <w:szCs w:val="14"/>
                <w:color w:val="auto"/>
                <w:w w:val="91"/>
              </w:rPr>
              <w:t>Issuance of common stock under employee stock purchase</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162,796</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80" w:type="dxa"/>
            <w:vAlign w:val="bottom"/>
            <w:vMerge w:val="restart"/>
          </w:tcPr>
          <w:p>
            <w:pPr>
              <w:jc w:val="right"/>
              <w:ind w:right="11"/>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84"/>
        </w:trPr>
        <w:tc>
          <w:tcPr>
            <w:tcW w:w="3400" w:type="dxa"/>
            <w:vAlign w:val="bottom"/>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(4,434,331)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(150,070)</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(53,402)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(53,402)</w:t>
            </w:r>
          </w:p>
        </w:tc>
        <w:tc>
          <w:tcPr>
            <w:tcW w:w="0" w:type="dxa"/>
            <w:vAlign w:val="bottom"/>
          </w:tcPr>
          <w:p>
            <w:pPr>
              <w:spacing w:after="0"/>
              <w:rPr>
                <w:sz w:val="1"/>
                <w:szCs w:val="1"/>
                <w:color w:val="auto"/>
              </w:rPr>
            </w:pPr>
          </w:p>
        </w:tc>
      </w:tr>
      <w:tr>
        <w:trPr>
          <w:trHeight w:val="21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81,831,178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705,741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718,568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(In thousands)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0" w:lineRule="exact"/>
        <w:rPr>
          <w:sz w:val="20"/>
          <w:szCs w:val="20"/>
          <w:color w:val="auto"/>
        </w:rPr>
      </w:pPr>
    </w:p>
    <w:p>
      <w:pPr>
        <w:jc w:val="center"/>
        <w:ind w:left="7680"/>
        <w:spacing w:after="0"/>
        <w:rPr>
          <w:sz w:val="20"/>
          <w:szCs w:val="20"/>
          <w:color w:val="auto"/>
        </w:rPr>
      </w:pPr>
      <w:r>
        <w:rPr>
          <w:rFonts w:ascii="Arial" w:cs="Arial" w:eastAsia="Arial" w:hAnsi="Arial"/>
          <w:sz w:val="17"/>
          <w:szCs w:val="17"/>
          <w:b w:val="1"/>
          <w:bCs w:val="1"/>
          <w:color w:val="auto"/>
        </w:rPr>
        <w:t>Nine Months Ended</w:t>
      </w:r>
    </w:p>
    <w:p>
      <w:pPr>
        <w:jc w:val="center"/>
        <w:ind w:left="7680"/>
        <w:spacing w:after="0"/>
        <w:rPr>
          <w:sz w:val="20"/>
          <w:szCs w:val="20"/>
          <w:color w:val="auto"/>
        </w:rPr>
      </w:pPr>
      <w:r>
        <w:rPr>
          <w:rFonts w:ascii="Arial" w:cs="Arial" w:eastAsia="Arial" w:hAnsi="Arial"/>
          <w:sz w:val="17"/>
          <w:szCs w:val="17"/>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76,499</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(53,402)</w:t>
            </w:r>
          </w:p>
        </w:tc>
      </w:tr>
      <w:tr>
        <w:trPr>
          <w:trHeight w:val="239"/>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Change in fair value of financial instruments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71,056</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92,035</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Gain on loan servicing arrangement,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(23,770)</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9,859</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Non-cash interest expense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2,294</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changes in operating assets and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Purchase of loans for immediate resale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(5,872,988)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(5,519,116)</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immediate resale of loans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5,519,116</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Purchase of loans held-for-sale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(80,305)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(1,459,528)</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Principal payments received for loans held-for-sale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104,049</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Proceeds from sale of loans held-for-sale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90,537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854,991</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8,719</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Operating lease liability and right-of-use asset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7,695</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Payable to investors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38,811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(13,754)</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(25,494)</w:t>
            </w:r>
          </w:p>
        </w:tc>
      </w:tr>
      <w:tr>
        <w:trPr>
          <w:trHeight w:val="211"/>
        </w:trPr>
        <w:tc>
          <w:tcPr>
            <w:tcW w:w="7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Net cash provided by (used in) operating activities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179,497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(421,804)</w:t>
            </w:r>
          </w:p>
        </w:tc>
      </w:tr>
      <w:tr>
        <w:trPr>
          <w:trHeight w:val="187"/>
        </w:trPr>
        <w:tc>
          <w:tcPr>
            <w:tcW w:w="7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loans held-for-investment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(55,294)</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Proceeds from sale of loans held-for-investment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10,793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11,993</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for loans held-for-investment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27,711</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Principal payments received for notes receivable and repayments of residual certificates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9,115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5,508</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non-marketable equity security</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(7,088)</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software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w:t>
            </w:r>
          </w:p>
        </w:tc>
      </w:tr>
      <w:tr>
        <w:trPr>
          <w:trHeight w:val="21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Acquisition, net of cash acquired</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(124,101)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(29,012)</w:t>
            </w:r>
          </w:p>
        </w:tc>
      </w:tr>
      <w:tr>
        <w:trPr>
          <w:trHeight w:val="187"/>
        </w:trPr>
        <w:tc>
          <w:tcPr>
            <w:tcW w:w="7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(150,070)</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secondary offering, net of underwriting discounts, commissions, and offering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Proceeds from borrowings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667,081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430,270</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 of debt issuance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Purchase of capped calls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(58,523)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(65,412)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(209,079)</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(Continued)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7" w:lineRule="exact"/>
        <w:rPr>
          <w:sz w:val="20"/>
          <w:szCs w:val="20"/>
          <w:color w:val="auto"/>
        </w:rPr>
      </w:pPr>
    </w:p>
    <w:p>
      <w:pPr>
        <w:jc w:val="center"/>
        <w:ind w:left="7680"/>
        <w:spacing w:after="0"/>
        <w:rPr>
          <w:sz w:val="20"/>
          <w:szCs w:val="20"/>
          <w:color w:val="auto"/>
        </w:rPr>
      </w:pPr>
      <w:r>
        <w:rPr>
          <w:rFonts w:ascii="Arial" w:cs="Arial" w:eastAsia="Arial" w:hAnsi="Arial"/>
          <w:sz w:val="17"/>
          <w:szCs w:val="17"/>
          <w:b w:val="1"/>
          <w:bCs w:val="1"/>
          <w:color w:val="auto"/>
        </w:rPr>
        <w:t>Nine Months Ended</w:t>
      </w:r>
    </w:p>
    <w:p>
      <w:pPr>
        <w:jc w:val="center"/>
        <w:ind w:left="7680"/>
        <w:spacing w:after="0"/>
        <w:rPr>
          <w:sz w:val="20"/>
          <w:szCs w:val="20"/>
          <w:color w:val="auto"/>
        </w:rPr>
      </w:pPr>
      <w:r>
        <w:rPr>
          <w:rFonts w:ascii="Arial" w:cs="Arial" w:eastAsia="Arial" w:hAnsi="Arial"/>
          <w:sz w:val="17"/>
          <w:szCs w:val="17"/>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1"/>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10,726</w:t>
            </w:r>
          </w:p>
        </w:tc>
      </w:tr>
      <w:tr>
        <w:trPr>
          <w:trHeight w:val="213"/>
        </w:trPr>
        <w:tc>
          <w:tcPr>
            <w:tcW w:w="7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provided by financing activities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805,032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89,501</w:t>
            </w:r>
          </w:p>
        </w:tc>
      </w:tr>
      <w:tr>
        <w:trPr>
          <w:trHeight w:val="211"/>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Change in cash and restricted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860,428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(361,315)</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restricted cash at beginning of period</w:t>
            </w: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1,191,241</w:t>
            </w:r>
          </w:p>
        </w:tc>
      </w:tr>
      <w:tr>
        <w:trPr>
          <w:trHeight w:val="213"/>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Cash and restricted cash at end of period</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1,171,761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829,926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7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19"/>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7,952</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Cash paid for income taxes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2,247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7,967</w:t>
            </w:r>
          </w:p>
        </w:tc>
      </w:tr>
      <w:tr>
        <w:trPr>
          <w:trHeight w:val="206"/>
        </w:trPr>
        <w:tc>
          <w:tcPr>
            <w:tcW w:w="7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Issuance of common stock in connection with acquisition</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80,256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stock-based compensation expense</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4,547</w:t>
            </w:r>
          </w:p>
        </w:tc>
      </w:tr>
      <w:tr>
        <w:trPr>
          <w:trHeight w:val="579"/>
        </w:trPr>
        <w:tc>
          <w:tcPr>
            <w:tcW w:w="7640" w:type="dxa"/>
            <w:vAlign w:val="bottom"/>
          </w:tcPr>
          <w:p>
            <w:pPr>
              <w:spacing w:after="0"/>
              <w:rPr>
                <w:sz w:val="20"/>
                <w:szCs w:val="20"/>
                <w:color w:val="auto"/>
              </w:rPr>
            </w:pPr>
            <w:r>
              <w:rPr>
                <w:rFonts w:ascii="Arial" w:cs="Arial" w:eastAsia="Arial" w:hAnsi="Arial"/>
                <w:sz w:val="17"/>
                <w:szCs w:val="17"/>
                <w:color w:val="auto"/>
                <w:w w:val="91"/>
              </w:rPr>
              <w:t>The following presents cash and restricted cash by category within the condensed consolidated balance sheet: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76"/>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September 30,</w:t>
            </w:r>
          </w:p>
        </w:tc>
      </w:tr>
      <w:tr>
        <w:trPr>
          <w:trHeight w:val="224"/>
        </w:trPr>
        <w:tc>
          <w:tcPr>
            <w:tcW w:w="76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986,608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683,970</w:t>
            </w:r>
          </w:p>
        </w:tc>
      </w:tr>
      <w:tr>
        <w:trPr>
          <w:trHeight w:val="21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204,633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145,956</w:t>
            </w: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restricted cash</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1,191,241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829,926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Description of Business and Significant Accounting Policies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bank partners with access to a proprietary, cloud-based, artificial intelligence lending marketplace. As the Company’s technology continues to improve and additional banks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2021.</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(iv) provision for income taxes, net of valuation allowance for deferred tax assets; and (v)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 issues stock options, restricted stock units (“RSUs”), performance-based restricted stock units (“PRSUs”),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date fair values. Forfeitures are estimated at the time of grant and revised, as necessary, in subsequent periods if actual forfeitures differ from initial estimates.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Stock-based compensation expense is recorded net of estimated forfeitures, such that the expense is recorded only for those awards that are expected to vest.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did not adopt any new accounting standards during the nine months ended September 30, 2022.</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followed by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 temporary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and ASU 2021-01 is effective for a limited period of time through December 31, 2022 and may be applied prospectively to contract modifications and hedging relationships. The Company does not expect the adoption of this guidance will have a material impact on the Company’s condensed consolidated financial statements or related disclosures.</w:t>
      </w:r>
    </w:p>
    <w:p>
      <w:pPr>
        <w:spacing w:after="0" w:line="21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new guidance requires contract assets and contract liabilities acquired in a business combination to be recognized and measured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acquirer on the acquisition date in accordance with ASC 606, Revenue from Contracts with Customers, as if it had originated the contracts. Under the current business combinations guidance, such assets and liabilities are recognized by the acquirer at fair value on the acquisition date. The ASU is effective for fiscal years beginning after December 15, 2022, with early adoption permitted. The ASU is to be applied prospectively to business combinations occurring on or after the effective date of the amendment (or if adopted early as of an interim period, as of the beginning of the fiscal year that includes the interim period of early application). This standard has no impact on acquired contract assets or liabilities from business combinations occurring prior to the effective date of adoption. The Company does not expect the adoption of this guidance will have a material impact on the Company’s condensed consolidated financial statements or related disclosures.</w:t>
      </w:r>
    </w:p>
    <w:p>
      <w:pPr>
        <w:spacing w:after="0" w:line="200" w:lineRule="exact"/>
        <w:rPr>
          <w:sz w:val="20"/>
          <w:szCs w:val="20"/>
          <w:color w:val="auto"/>
        </w:rPr>
      </w:pPr>
    </w:p>
    <w:p>
      <w:pPr>
        <w:spacing w:after="0" w:line="212" w:lineRule="exact"/>
        <w:rPr>
          <w:sz w:val="20"/>
          <w:szCs w:val="20"/>
          <w:color w:val="auto"/>
        </w:rPr>
      </w:pPr>
    </w:p>
    <w:p>
      <w:pPr>
        <w:jc w:val="center"/>
        <w:ind w:right="8360"/>
        <w:spacing w:after="0"/>
        <w:tabs>
          <w:tab w:leader="none" w:pos="1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4"/>
          <w:szCs w:val="14"/>
          <w:b w:val="1"/>
          <w:bCs w:val="1"/>
          <w:color w:val="auto"/>
        </w:rPr>
        <w:t>Revenue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disaggregates revenue from fees by type of service for the periods presented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90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2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7"/>
                <w:szCs w:val="17"/>
                <w:b w:val="1"/>
                <w:bCs w:val="1"/>
                <w:color w:val="auto"/>
              </w:rPr>
              <w:t>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8"/>
        </w:trPr>
        <w:tc>
          <w:tcPr>
            <w:tcW w:w="4240" w:type="dxa"/>
            <w:vAlign w:val="bottom"/>
          </w:tcPr>
          <w:p>
            <w:pPr>
              <w:ind w:left="320"/>
              <w:spacing w:after="0"/>
              <w:rPr>
                <w:sz w:val="20"/>
                <w:szCs w:val="20"/>
                <w:color w:val="auto"/>
              </w:rPr>
            </w:pPr>
            <w:r>
              <w:rPr>
                <w:rFonts w:ascii="Arial" w:cs="Arial" w:eastAsia="Arial" w:hAnsi="Arial"/>
                <w:sz w:val="17"/>
                <w:szCs w:val="17"/>
                <w:color w:val="auto"/>
              </w:rPr>
              <w:t>Platform and referral fees, net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191,442</w:t>
            </w:r>
          </w:p>
        </w:tc>
        <w:tc>
          <w:tcPr>
            <w:tcW w:w="8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134,786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467,476</w:t>
            </w:r>
          </w:p>
        </w:tc>
        <w:tc>
          <w:tcPr>
            <w:tcW w:w="8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618,208</w:t>
            </w:r>
          </w:p>
        </w:tc>
      </w:tr>
      <w:tr>
        <w:trPr>
          <w:trHeight w:val="219"/>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Servicing and other fees, net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18,979</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133,467</w:t>
            </w:r>
          </w:p>
        </w:tc>
      </w:tr>
      <w:tr>
        <w:trPr>
          <w:trHeight w:val="213"/>
        </w:trPr>
        <w:tc>
          <w:tcPr>
            <w:tcW w:w="4240" w:type="dxa"/>
            <w:vAlign w:val="bottom"/>
          </w:tcPr>
          <w:p>
            <w:pPr>
              <w:ind w:left="20"/>
              <w:spacing w:after="0"/>
              <w:rPr>
                <w:sz w:val="20"/>
                <w:szCs w:val="20"/>
                <w:color w:val="auto"/>
              </w:rPr>
            </w:pPr>
            <w:r>
              <w:rPr>
                <w:rFonts w:ascii="Arial" w:cs="Arial" w:eastAsia="Arial" w:hAnsi="Arial"/>
                <w:sz w:val="17"/>
                <w:szCs w:val="17"/>
                <w:color w:val="auto"/>
              </w:rPr>
              <w:t>Total revenue from fees, net</w:t>
            </w: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210,421</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179,348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513,888</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751,675</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Platform and referral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marketplace developed by the Company (the “Upstart platform”) to enable bank partners to originate 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contractual holding period. Upstart also pays bank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(loss). The Company recognized $6.6 million and $16.2 million of loan premium fees and loan trailing fees as contra-revenue within platform and referral fees, net during the three and nine months ended September 30, 2021, respectively, and $6.1 million and $20.9 million during the three and nine months ended September 30, 2022, respectively.</w:t>
      </w:r>
    </w:p>
    <w:p>
      <w:pPr>
        <w:spacing w:after="0" w:line="196"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As of December 31, 2021 and September 30, 2022, the Company recognized $4.3 million and $5.2 million of loan trailing fee liability, respectively, which is recorded at fair value and included within accrued expenses and other liabilities on the Company’s condensed consolidated balance sheets. Refer to “</w:t>
      </w:r>
      <w:r>
        <w:rPr>
          <w:rFonts w:ascii="Arial" w:cs="Arial" w:eastAsia="Arial" w:hAnsi="Arial"/>
          <w:sz w:val="15"/>
          <w:szCs w:val="15"/>
          <w:i w:val="1"/>
          <w:iCs w:val="1"/>
          <w:color w:val="auto"/>
        </w:rPr>
        <w:t>Note</w:t>
      </w:r>
    </w:p>
    <w:p>
      <w:pPr>
        <w:spacing w:after="0" w:line="1" w:lineRule="exact"/>
        <w:rPr>
          <w:sz w:val="20"/>
          <w:szCs w:val="20"/>
          <w:color w:val="auto"/>
        </w:rPr>
      </w:pPr>
    </w:p>
    <w:p>
      <w:pPr>
        <w:ind w:left="180" w:hanging="177"/>
        <w:spacing w:after="0"/>
        <w:tabs>
          <w:tab w:leader="none" w:pos="18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Fair Value Measurement</w:t>
      </w:r>
      <w:r>
        <w:rPr>
          <w:rFonts w:ascii="Arial" w:cs="Arial" w:eastAsia="Arial" w:hAnsi="Arial"/>
          <w:sz w:val="17"/>
          <w:szCs w:val="17"/>
          <w:color w:val="auto"/>
        </w:rPr>
        <w:t>” for additional information on changes in fair value associated with trailing fee liabilities.</w:t>
      </w:r>
    </w:p>
    <w:p>
      <w:pPr>
        <w:spacing w:after="0" w:line="23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Platform and referral services are typically provided under a fixed or variable price per unit based on a percentage of the value of loans originated each period with certain bank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periods presented. The Company had no material contract assets, contract liabilities, or deferred contract costs recorded as of December 31, 2021 and September 30, 2022. The Company had $44.8 million and $34.3 million of accounts receivable that are included in other assets on the condensed consolidated balance sheets related to contracts with customers as of December 31, 2021 and September 30, 2022, respectively. The standard payment terms on accounts receivable are 30 days. The Company’s allowance for bad debt and bad debt expense were immaterial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right="80" w:firstLine="619"/>
        <w:spacing w:after="0" w:line="277" w:lineRule="auto"/>
        <w:rPr>
          <w:sz w:val="20"/>
          <w:szCs w:val="20"/>
          <w:color w:val="auto"/>
        </w:rPr>
      </w:pPr>
      <w:r>
        <w:rPr>
          <w:rFonts w:ascii="Arial" w:cs="Arial" w:eastAsia="Arial" w:hAnsi="Arial"/>
          <w:sz w:val="16"/>
          <w:szCs w:val="16"/>
          <w:color w:val="auto"/>
        </w:rPr>
        <w:t>The Company capitalizes incremental costs of obtaining a contract with a customer, which are certain sales commissions paid to employees in connection with the acquisition of bank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2021 and September 30, 2022, the Company had an immaterial amount of contract costs capitalized within other assets on the condensed consolidated balance sheets. The Company amortized an immaterial amount of capitalized contracts costs to sales and marketing in the condensed consolidated statements of operations and comprehensive income (loss) for the periods presented.</w:t>
      </w:r>
    </w:p>
    <w:p>
      <w:pPr>
        <w:sectPr>
          <w:pgSz w:w="11900" w:h="16838" w:orient="portrait"/>
          <w:cols w:equalWidth="0" w:num="1">
            <w:col w:w="11320"/>
          </w:cols>
          <w:pgMar w:left="320" w:top="179" w:right="259" w:bottom="1440" w:gutter="0" w:footer="0" w:header="0"/>
        </w:sectPr>
      </w:pP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Customers accounting for greater than 10% of total revenue were as follows:</w:t>
      </w:r>
    </w:p>
    <w:p>
      <w:pPr>
        <w:spacing w:after="0" w:line="268" w:lineRule="exact"/>
        <w:rPr>
          <w:sz w:val="20"/>
          <w:szCs w:val="20"/>
          <w:color w:val="auto"/>
        </w:rPr>
      </w:pPr>
    </w:p>
    <w:p>
      <w:pPr>
        <w:jc w:val="center"/>
        <w:ind w:left="4620"/>
        <w:spacing w:after="0"/>
        <w:rPr>
          <w:sz w:val="20"/>
          <w:szCs w:val="20"/>
          <w:color w:val="auto"/>
        </w:rPr>
      </w:pPr>
      <w:r>
        <w:rPr>
          <w:rFonts w:ascii="Arial" w:cs="Arial" w:eastAsia="Arial" w:hAnsi="Arial"/>
          <w:sz w:val="17"/>
          <w:szCs w:val="17"/>
          <w:b w:val="1"/>
          <w:bCs w:val="1"/>
          <w:color w:val="auto"/>
        </w:rPr>
        <w:t>Three Months Ended</w:t>
      </w:r>
    </w:p>
    <w:p>
      <w:pPr>
        <w:jc w:val="center"/>
        <w:ind w:left="4620"/>
        <w:spacing w:after="0"/>
        <w:rPr>
          <w:sz w:val="20"/>
          <w:szCs w:val="20"/>
          <w:color w:val="auto"/>
        </w:rPr>
      </w:pPr>
      <w:r>
        <w:rPr>
          <w:rFonts w:ascii="Arial" w:cs="Arial" w:eastAsia="Arial" w:hAnsi="Arial"/>
          <w:sz w:val="17"/>
          <w:szCs w:val="17"/>
          <w:b w:val="1"/>
          <w:bCs w:val="1"/>
          <w:color w:val="auto"/>
        </w:rPr>
        <w:t>September 30,</w:t>
      </w:r>
    </w:p>
    <w:p>
      <w:pPr>
        <w:spacing w:after="0" w:line="8"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404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r>
      <w:tr>
        <w:trPr>
          <w:trHeight w:val="249"/>
        </w:trPr>
        <w:tc>
          <w:tcPr>
            <w:tcW w:w="4040" w:type="dxa"/>
            <w:vAlign w:val="bottom"/>
          </w:tcPr>
          <w:p>
            <w:pPr>
              <w:spacing w:after="0"/>
              <w:rPr>
                <w:sz w:val="20"/>
                <w:szCs w:val="20"/>
                <w:color w:val="auto"/>
              </w:rPr>
            </w:pPr>
            <w:r>
              <w:rPr>
                <w:rFonts w:ascii="Arial" w:cs="Arial" w:eastAsia="Arial" w:hAnsi="Arial"/>
                <w:sz w:val="17"/>
                <w:szCs w:val="17"/>
                <w:color w:val="auto"/>
              </w:rPr>
              <w:t>Customer A</w:t>
            </w:r>
          </w:p>
        </w:tc>
        <w:tc>
          <w:tcPr>
            <w:tcW w:w="1740" w:type="dxa"/>
            <w:vAlign w:val="bottom"/>
          </w:tcPr>
          <w:p>
            <w:pPr>
              <w:jc w:val="right"/>
              <w:ind w:right="314"/>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3"/>
              </w:rPr>
              <w:t>45%</w:t>
            </w:r>
          </w:p>
        </w:tc>
      </w:tr>
      <w:tr>
        <w:trPr>
          <w:trHeight w:val="258"/>
        </w:trPr>
        <w:tc>
          <w:tcPr>
            <w:tcW w:w="4040" w:type="dxa"/>
            <w:vAlign w:val="bottom"/>
          </w:tcPr>
          <w:p>
            <w:pPr>
              <w:spacing w:after="0"/>
              <w:rPr>
                <w:sz w:val="20"/>
                <w:szCs w:val="20"/>
                <w:color w:val="auto"/>
              </w:rPr>
            </w:pPr>
            <w:r>
              <w:rPr>
                <w:rFonts w:ascii="Arial" w:cs="Arial" w:eastAsia="Arial" w:hAnsi="Arial"/>
                <w:sz w:val="17"/>
                <w:szCs w:val="17"/>
                <w:color w:val="auto"/>
              </w:rPr>
              <w:t>Customer B</w:t>
            </w:r>
          </w:p>
        </w:tc>
        <w:tc>
          <w:tcPr>
            <w:tcW w:w="1740" w:type="dxa"/>
            <w:vAlign w:val="bottom"/>
          </w:tcPr>
          <w:p>
            <w:pPr>
              <w:jc w:val="right"/>
              <w:ind w:right="634"/>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3"/>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-334010</wp:posOffset>
            </wp:positionV>
            <wp:extent cx="6805930" cy="1720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5930" cy="172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Nine Months Ended</w:t>
      </w:r>
    </w:p>
    <w:p>
      <w:pPr>
        <w:jc w:val="center"/>
        <w:ind w:right="14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13970</wp:posOffset>
            </wp:positionV>
            <wp:extent cx="19189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18970" cy="8255"/>
                    </a:xfrm>
                    <a:prstGeom prst="rect">
                      <a:avLst/>
                    </a:prstGeom>
                    <a:noFill/>
                  </pic:spPr>
                </pic:pic>
              </a:graphicData>
            </a:graphic>
          </wp:anchor>
        </w:drawing>
      </w:r>
    </w:p>
    <w:p>
      <w:pPr>
        <w:spacing w:after="0" w:line="9"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2022</w:t>
      </w:r>
    </w:p>
    <w:p>
      <w:pPr>
        <w:spacing w:after="0" w:line="55" w:lineRule="exact"/>
        <w:rPr>
          <w:sz w:val="20"/>
          <w:szCs w:val="20"/>
          <w:color w:val="auto"/>
        </w:rPr>
      </w:pPr>
    </w:p>
    <w:p>
      <w:pPr>
        <w:jc w:val="both"/>
        <w:ind w:left="320"/>
        <w:spacing w:after="0"/>
        <w:tabs>
          <w:tab w:leader="none" w:pos="212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7"/>
          <w:szCs w:val="17"/>
          <w:color w:val="auto"/>
        </w:rPr>
        <w:t>47</w:t>
      </w:r>
    </w:p>
    <w:p>
      <w:pPr>
        <w:spacing w:after="0" w:line="62" w:lineRule="exact"/>
        <w:rPr>
          <w:sz w:val="20"/>
          <w:szCs w:val="20"/>
          <w:color w:val="auto"/>
        </w:rPr>
      </w:pPr>
    </w:p>
    <w:p>
      <w:pPr>
        <w:jc w:val="both"/>
        <w:ind w:left="320"/>
        <w:spacing w:after="0"/>
        <w:tabs>
          <w:tab w:leader="none" w:pos="21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color w:val="auto"/>
        </w:rPr>
        <w:t>29</w:t>
      </w:r>
    </w:p>
    <w:p>
      <w:pPr>
        <w:spacing w:after="0" w:line="247" w:lineRule="exact"/>
        <w:rPr>
          <w:sz w:val="20"/>
          <w:szCs w:val="20"/>
          <w:color w:val="auto"/>
        </w:rPr>
      </w:pPr>
    </w:p>
    <w:p>
      <w:pPr>
        <w:sectPr>
          <w:pgSz w:w="11900" w:h="16838" w:orient="portrait"/>
          <w:cols w:equalWidth="0" w:num="2">
            <w:col w:w="8300" w:space="720"/>
            <w:col w:w="2300"/>
          </w:cols>
          <w:pgMar w:left="320" w:top="179" w:right="25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ind w:left="620"/>
              <w:spacing w:after="0"/>
              <w:rPr>
                <w:sz w:val="20"/>
                <w:szCs w:val="20"/>
                <w:color w:val="auto"/>
              </w:rPr>
            </w:pPr>
            <w:r>
              <w:rPr>
                <w:rFonts w:ascii="Arial" w:cs="Arial" w:eastAsia="Arial" w:hAnsi="Arial"/>
                <w:sz w:val="17"/>
                <w:szCs w:val="17"/>
                <w:color w:val="auto"/>
              </w:rPr>
              <w:t>Customers accounting for greater than 10% of accounts receivable were as follows: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1"/>
        </w:trPr>
        <w:tc>
          <w:tcPr>
            <w:tcW w:w="7700" w:type="dxa"/>
            <w:vAlign w:val="bottom"/>
          </w:tcPr>
          <w:p>
            <w:pPr>
              <w:spacing w:after="0"/>
              <w:rPr>
                <w:sz w:val="20"/>
                <w:szCs w:val="20"/>
                <w:color w:val="auto"/>
              </w:rPr>
            </w:pPr>
          </w:p>
        </w:tc>
        <w:tc>
          <w:tcPr>
            <w:tcW w:w="1820" w:type="dxa"/>
            <w:vAlign w:val="bottom"/>
            <w:gridSpan w:val="2"/>
          </w:tcPr>
          <w:p>
            <w:pPr>
              <w:ind w:left="360"/>
              <w:spacing w:after="0"/>
              <w:rPr>
                <w:sz w:val="20"/>
                <w:szCs w:val="20"/>
                <w:color w:val="auto"/>
              </w:rPr>
            </w:pPr>
            <w:r>
              <w:rPr>
                <w:rFonts w:ascii="Arial" w:cs="Arial" w:eastAsia="Arial" w:hAnsi="Arial"/>
                <w:sz w:val="17"/>
                <w:szCs w:val="17"/>
                <w:b w:val="1"/>
                <w:bCs w:val="1"/>
                <w:color w:val="auto"/>
              </w:rPr>
              <w:t>December 31,</w:t>
            </w:r>
          </w:p>
        </w:tc>
        <w:tc>
          <w:tcPr>
            <w:tcW w:w="1720" w:type="dxa"/>
            <w:vAlign w:val="bottom"/>
          </w:tcPr>
          <w:p>
            <w:pPr>
              <w:ind w:left="340"/>
              <w:spacing w:after="0"/>
              <w:rPr>
                <w:sz w:val="20"/>
                <w:szCs w:val="20"/>
                <w:color w:val="auto"/>
              </w:rPr>
            </w:pPr>
            <w:r>
              <w:rPr>
                <w:rFonts w:ascii="Arial" w:cs="Arial" w:eastAsia="Arial" w:hAnsi="Arial"/>
                <w:sz w:val="17"/>
                <w:szCs w:val="17"/>
                <w:b w:val="1"/>
                <w:bCs w:val="1"/>
                <w:color w:val="auto"/>
              </w:rPr>
              <w:t>September 30,</w:t>
            </w:r>
          </w:p>
        </w:tc>
      </w:tr>
      <w:tr>
        <w:trPr>
          <w:trHeight w:val="224"/>
        </w:trPr>
        <w:tc>
          <w:tcPr>
            <w:tcW w:w="77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2022</w:t>
            </w:r>
          </w:p>
        </w:tc>
      </w:tr>
      <w:tr>
        <w:trPr>
          <w:trHeight w:val="213"/>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25%</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27%</w:t>
            </w: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Customer D</w:t>
            </w:r>
          </w:p>
        </w:tc>
        <w:tc>
          <w:tcPr>
            <w:tcW w:w="1720" w:type="dxa"/>
            <w:vAlign w:val="bottom"/>
          </w:tcPr>
          <w:p>
            <w:pPr>
              <w:jc w:val="center"/>
              <w:spacing w:after="0"/>
              <w:rPr>
                <w:sz w:val="20"/>
                <w:szCs w:val="20"/>
                <w:color w:val="auto"/>
              </w:rPr>
            </w:pPr>
            <w:r>
              <w:rPr>
                <w:rFonts w:ascii="Arial" w:cs="Arial" w:eastAsia="Arial" w:hAnsi="Arial"/>
                <w:sz w:val="17"/>
                <w:szCs w:val="17"/>
                <w:color w:val="auto"/>
                <w:w w:val="93"/>
              </w:rPr>
              <w:t>33%</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rPr>
              <w:t>*</w:t>
            </w:r>
          </w:p>
        </w:tc>
      </w:tr>
    </w:tbl>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Less than 10%</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Servicing and other fees, net</w:t>
      </w:r>
    </w:p>
    <w:p>
      <w:pPr>
        <w:spacing w:after="0" w:line="243" w:lineRule="exact"/>
        <w:rPr>
          <w:sz w:val="20"/>
          <w:szCs w:val="20"/>
          <w:color w:val="auto"/>
        </w:rPr>
      </w:pPr>
    </w:p>
    <w:p>
      <w:pPr>
        <w:jc w:val="both"/>
        <w:ind w:right="80" w:firstLine="619"/>
        <w:spacing w:after="0" w:line="277" w:lineRule="auto"/>
        <w:rPr>
          <w:sz w:val="20"/>
          <w:szCs w:val="20"/>
          <w:color w:val="auto"/>
        </w:rPr>
      </w:pPr>
      <w:r>
        <w:rPr>
          <w:rFonts w:ascii="Arial" w:cs="Arial" w:eastAsia="Arial" w:hAnsi="Arial"/>
          <w:sz w:val="16"/>
          <w:szCs w:val="16"/>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w:t>
      </w:r>
    </w:p>
    <w:p>
      <w:pPr>
        <w:spacing w:after="0" w:line="196" w:lineRule="exact"/>
        <w:rPr>
          <w:sz w:val="20"/>
          <w:szCs w:val="20"/>
          <w:color w:val="auto"/>
        </w:rPr>
      </w:pPr>
    </w:p>
    <w:p>
      <w:pPr>
        <w:jc w:val="both"/>
        <w:ind w:right="80" w:firstLine="619"/>
        <w:spacing w:after="0" w:line="259" w:lineRule="auto"/>
        <w:rPr>
          <w:sz w:val="20"/>
          <w:szCs w:val="20"/>
          <w:color w:val="auto"/>
        </w:rPr>
      </w:pPr>
      <w:r>
        <w:rPr>
          <w:rFonts w:ascii="Arial" w:cs="Arial" w:eastAsia="Arial" w:hAnsi="Arial"/>
          <w:sz w:val="17"/>
          <w:szCs w:val="17"/>
          <w:color w:val="auto"/>
        </w:rPr>
        <w:t>Servicing and other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Arial" w:cs="Arial" w:eastAsia="Arial" w:hAnsi="Arial"/>
          <w:sz w:val="17"/>
          <w:szCs w:val="17"/>
          <w:i w:val="1"/>
          <w:iCs w:val="1"/>
          <w:color w:val="auto"/>
        </w:rPr>
        <w:t>Note 4. Fair Value Measurement</w:t>
      </w:r>
      <w:r>
        <w:rPr>
          <w:rFonts w:ascii="Arial" w:cs="Arial" w:eastAsia="Arial" w:hAnsi="Arial"/>
          <w:sz w:val="17"/>
          <w:szCs w:val="17"/>
          <w:color w:val="auto"/>
        </w:rPr>
        <w:t>” for additional information on changes in fair value associated with servicing assets and liabilities.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recognized a net gain related to loan servicing rights upon loan sales for the periods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320" w:top="179"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980" w:type="dxa"/>
            <w:vAlign w:val="bottom"/>
            <w:gridSpan w:val="4"/>
          </w:tcPr>
          <w:p>
            <w:pPr>
              <w:jc w:val="center"/>
              <w:ind w:left="494"/>
              <w:spacing w:after="0"/>
              <w:rPr>
                <w:sz w:val="20"/>
                <w:szCs w:val="20"/>
                <w:color w:val="auto"/>
              </w:rPr>
            </w:pPr>
            <w:r>
              <w:rPr>
                <w:rFonts w:ascii="Arial" w:cs="Arial" w:eastAsia="Arial" w:hAnsi="Arial"/>
                <w:sz w:val="17"/>
                <w:szCs w:val="17"/>
                <w:b w:val="1"/>
                <w:bCs w:val="1"/>
                <w:color w:val="auto"/>
                <w:w w:val="92"/>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center"/>
              <w:ind w:left="494"/>
              <w:spacing w:after="0"/>
              <w:rPr>
                <w:sz w:val="20"/>
                <w:szCs w:val="20"/>
                <w:color w:val="auto"/>
              </w:rPr>
            </w:pPr>
            <w:r>
              <w:rPr>
                <w:rFonts w:ascii="Arial" w:cs="Arial" w:eastAsia="Arial" w:hAnsi="Arial"/>
                <w:sz w:val="17"/>
                <w:szCs w:val="17"/>
                <w:b w:val="1"/>
                <w:bCs w:val="1"/>
                <w:color w:val="auto"/>
                <w:w w:val="93"/>
              </w:rPr>
              <w:t>Nine Months Ended</w:t>
            </w:r>
          </w:p>
        </w:tc>
        <w:tc>
          <w:tcPr>
            <w:tcW w:w="580" w:type="dxa"/>
            <w:vAlign w:val="bottom"/>
          </w:tcPr>
          <w:p>
            <w:pPr>
              <w:spacing w:after="0"/>
              <w:rPr>
                <w:sz w:val="16"/>
                <w:szCs w:val="16"/>
                <w:color w:val="auto"/>
              </w:rPr>
            </w:pPr>
          </w:p>
        </w:tc>
      </w:tr>
      <w:tr>
        <w:trPr>
          <w:trHeight w:val="228"/>
        </w:trPr>
        <w:tc>
          <w:tcPr>
            <w:tcW w:w="4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7"/>
                <w:szCs w:val="17"/>
                <w:b w:val="1"/>
                <w:bCs w:val="1"/>
                <w:color w:val="auto"/>
                <w:w w:val="89"/>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7"/>
                <w:szCs w:val="17"/>
                <w:b w:val="1"/>
                <w:bCs w:val="1"/>
                <w:color w:val="auto"/>
                <w:w w:val="89"/>
              </w:rPr>
              <w:t>September 30,</w:t>
            </w:r>
          </w:p>
        </w:tc>
        <w:tc>
          <w:tcPr>
            <w:tcW w:w="58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related to loan servicing rights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23,770</w:t>
            </w:r>
          </w:p>
        </w:tc>
      </w:tr>
    </w:tbl>
    <w:p>
      <w:pPr>
        <w:spacing w:after="0" w:line="31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and other fees, net as part of revenue from fees, net in the Company’s condensed consolidated statements of operations and comprehensive income (loss). The total fees charged by collection agencies are also recognized in the period incurred and reported as part of customer operations expenses.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periods presented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Nine Months Ended</w:t>
            </w:r>
          </w:p>
        </w:tc>
        <w:tc>
          <w:tcPr>
            <w:tcW w:w="580" w:type="dxa"/>
            <w:vAlign w:val="bottom"/>
          </w:tcPr>
          <w:p>
            <w:pPr>
              <w:spacing w:after="0"/>
              <w:rPr>
                <w:sz w:val="16"/>
                <w:szCs w:val="16"/>
                <w:color w:val="auto"/>
              </w:rPr>
            </w:pPr>
          </w:p>
        </w:tc>
      </w:tr>
      <w:tr>
        <w:trPr>
          <w:trHeight w:val="228"/>
        </w:trPr>
        <w:tc>
          <w:tcPr>
            <w:tcW w:w="4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7"/>
                <w:szCs w:val="17"/>
                <w:b w:val="1"/>
                <w:bCs w:val="1"/>
                <w:color w:val="auto"/>
                <w:w w:val="98"/>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w w:val="94"/>
              </w:rPr>
              <w:t>September 30,</w:t>
            </w:r>
          </w:p>
        </w:tc>
        <w:tc>
          <w:tcPr>
            <w:tcW w:w="58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agency fees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7,345</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Borrower fees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2,062</w:t>
            </w:r>
          </w:p>
        </w:tc>
        <w:tc>
          <w:tcPr>
            <w:tcW w:w="80" w:type="dxa"/>
            <w:vAlign w:val="bottom"/>
          </w:tcPr>
          <w:p>
            <w:pPr>
              <w:spacing w:after="0"/>
              <w:rPr>
                <w:sz w:val="18"/>
                <w:szCs w:val="18"/>
                <w:color w:val="auto"/>
              </w:rPr>
            </w:pP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7,005</w:t>
            </w:r>
          </w:p>
        </w:tc>
        <w:tc>
          <w:tcPr>
            <w:tcW w:w="10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4,043</w:t>
            </w:r>
          </w:p>
        </w:tc>
        <w:tc>
          <w:tcPr>
            <w:tcW w:w="80" w:type="dxa"/>
            <w:vAlign w:val="bottom"/>
          </w:tcPr>
          <w:p>
            <w:pPr>
              <w:spacing w:after="0"/>
              <w:rPr>
                <w:sz w:val="18"/>
                <w:szCs w:val="18"/>
                <w:color w:val="auto"/>
              </w:rPr>
            </w:pP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18,125</w:t>
            </w:r>
          </w:p>
        </w:tc>
      </w:tr>
    </w:tbl>
    <w:p>
      <w:pPr>
        <w:spacing w:after="0" w:line="27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components of the interest income and fair value adjustments, net presented in the Company’s condensed consolidated statements of operations and comprehensive income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90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7"/>
                <w:szCs w:val="17"/>
                <w:b w:val="1"/>
                <w:bCs w:val="1"/>
                <w:color w:val="auto"/>
                <w:w w:val="99"/>
              </w:rPr>
              <w:t>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66,288</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(3,050)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(2,796)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(6,322)</w:t>
            </w:r>
          </w:p>
        </w:tc>
        <w:tc>
          <w:tcPr>
            <w:tcW w:w="0" w:type="dxa"/>
            <w:vAlign w:val="bottom"/>
          </w:tcPr>
          <w:p>
            <w:pPr>
              <w:spacing w:after="0"/>
              <w:rPr>
                <w:sz w:val="1"/>
                <w:szCs w:val="1"/>
                <w:color w:val="auto"/>
              </w:rPr>
            </w:pPr>
          </w:p>
        </w:tc>
      </w:tr>
      <w:tr>
        <w:trPr>
          <w:trHeight w:val="246"/>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and other adjustments</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240" w:type="dxa"/>
            <w:vAlign w:val="bottom"/>
          </w:tcPr>
          <w:p>
            <w:pPr>
              <w:ind w:left="220"/>
              <w:spacing w:after="0" w:line="219" w:lineRule="exact"/>
              <w:rPr>
                <w:sz w:val="20"/>
                <w:szCs w:val="20"/>
                <w:color w:val="auto"/>
              </w:rPr>
            </w:pPr>
            <w:r>
              <w:rPr>
                <w:rFonts w:ascii="Arial" w:cs="Arial" w:eastAsia="Arial" w:hAnsi="Arial"/>
                <w:sz w:val="17"/>
                <w:szCs w:val="17"/>
                <w:color w:val="auto"/>
              </w:rPr>
              <w:t>Unrealized gain (loss) and other adjustments, net</w:t>
            </w:r>
            <w:r>
              <w:rPr>
                <w:rFonts w:ascii="Arial" w:cs="Arial" w:eastAsia="Arial" w:hAnsi="Arial"/>
                <w:sz w:val="22"/>
                <w:szCs w:val="22"/>
                <w:color w:val="auto"/>
                <w:vertAlign w:val="superscript"/>
              </w:rPr>
              <w:t>(1)</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9"/>
              </w:rPr>
              <w:t>11,360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(20,069)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14,470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(70,855)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gain (loss) on sale of loans, net</w:t>
            </w: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(21,176)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(45,255)</w:t>
            </w:r>
          </w:p>
        </w:tc>
        <w:tc>
          <w:tcPr>
            <w:tcW w:w="0" w:type="dxa"/>
            <w:vAlign w:val="bottom"/>
          </w:tcPr>
          <w:p>
            <w:pPr>
              <w:spacing w:after="0"/>
              <w:rPr>
                <w:sz w:val="1"/>
                <w:szCs w:val="1"/>
                <w:color w:val="auto"/>
              </w:rPr>
            </w:pPr>
          </w:p>
        </w:tc>
      </w:tr>
      <w:tr>
        <w:trPr>
          <w:trHeight w:val="211"/>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fair value and other adjustments</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13,228</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(41,245)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20,629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(116,110)</w:t>
            </w:r>
          </w:p>
        </w:tc>
        <w:tc>
          <w:tcPr>
            <w:tcW w:w="0" w:type="dxa"/>
            <w:vAlign w:val="bottom"/>
          </w:tcPr>
          <w:p>
            <w:pPr>
              <w:spacing w:after="0"/>
              <w:rPr>
                <w:sz w:val="1"/>
                <w:szCs w:val="1"/>
                <w:color w:val="auto"/>
              </w:rPr>
            </w:pPr>
          </w:p>
        </w:tc>
      </w:tr>
      <w:tr>
        <w:trPr>
          <w:trHeight w:val="239"/>
        </w:trPr>
        <w:tc>
          <w:tcPr>
            <w:tcW w:w="424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auto"/>
              </w:rPr>
              <w:t>Total interest income and fair value adjustments, net</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18,029</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(22,115)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29,853</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(56,144)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7"/>
                <w:szCs w:val="17"/>
                <w:color w:val="auto"/>
              </w:rPr>
              <w:t>_________</w:t>
            </w: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2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7"/>
        <w:spacing w:after="0" w:line="269"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$12.7 million and $15.2 million of income from capital market programs, net for the three and nine months ended September 30, 2021, respectively. Income from capital market programs was immaterial for both the three and nine months ended September 30, 2022.</w:t>
      </w:r>
    </w:p>
    <w:p>
      <w:pPr>
        <w:spacing w:after="0" w:line="32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is recognized based on the terms of the underlying agreements with borrowers for loans held on the Company’s condensed consolidated balance sheets and is earned over the life of a loan.</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2021 and September 30, 2022, the Company has recorded $2.6 million and $7.8 million of accrued interest income in loans on the condensed consolidated balance sheets,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expense is primarily related to interest recorded on the Company’s borrowings on warehouse credit facilities. Interest expense includes accrued interest incurred but not paid. Accrued interest expenses were immaterial as of December 31, 2021 and September 30, 2022.</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value and other adjustments, net</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These adjustments are recorded in the Company’s condensed consolidated statements of operations and comprehensive income (loss) and include both realized and unrealized changes to the value of related assets and liabilities.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additional information.</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Fair value and other adjustments, net also include gains recognized through our securitization programs and amounts received from borrowers for previously charged-off loans held on the Company’s condensed consolidated balance sheets. These amounts are recognized in the period when amounts are received or the transaction is completed.</w:t>
      </w:r>
    </w:p>
    <w:p>
      <w:pPr>
        <w:spacing w:after="0" w:line="19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Variable Interest Entities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Consolidated VIEs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VIE. When the Company’s decision-maker or service-provider fee is not a variable interest, the Company is viewed as acting as a fiduciary for the potential VIE.</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Warehouse Entities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established Upstart Loan Trust and Upstart Auto Warehouse Trust to enter into warehouse credit facilities for the purpose of purchasing Upstart-powered loans. See “</w:t>
      </w:r>
      <w:r>
        <w:rPr>
          <w:rFonts w:ascii="Arial" w:cs="Arial" w:eastAsia="Arial" w:hAnsi="Arial"/>
          <w:sz w:val="17"/>
          <w:szCs w:val="17"/>
          <w:i w:val="1"/>
          <w:iCs w:val="1"/>
          <w:color w:val="auto"/>
        </w:rPr>
        <w:t>Note 8. Borrowings</w:t>
      </w:r>
      <w:r>
        <w:rPr>
          <w:rFonts w:ascii="Arial" w:cs="Arial" w:eastAsia="Arial" w:hAnsi="Arial"/>
          <w:sz w:val="17"/>
          <w:szCs w:val="17"/>
          <w:color w:val="auto"/>
        </w:rPr>
        <w:t>” for additional information. The entities are Delaware statutory trusts that are structured to be bankruptcy-remote, with third-party banks operating as trustees.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Consolidated VIE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Upstart Loan Trust 2, a Delaware statutory trust, holds loans facilitated through the Upstart platform. These loans include, but are not limited to, loans not pledged or eligible to be pledged to the Company’s warehouse credit facilities or loans that were the result of the Company’s repurchases of loans for breaches of representations and warranties made to institutional investors.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a summary of financial assets and liabilities from the Company’s involvement with consolidated VIEs: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342,025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49,314</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292,711</w:t>
            </w:r>
          </w:p>
        </w:tc>
      </w:tr>
      <w:tr>
        <w:trPr>
          <w:trHeight w:val="568"/>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4"/>
                <w:szCs w:val="24"/>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September 30, 2022</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718,426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271,931</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446,495</w:t>
            </w:r>
          </w:p>
        </w:tc>
      </w:tr>
    </w:tbl>
    <w:p>
      <w:pPr>
        <w:spacing w:after="0" w:line="2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these transactions, the Company does not hold a significant economic interest in these entities and has determined that it is not the primary beneficiary of these entities. The Company’s unconsolidated VIEs include entities established as the issuers and grantor trusts for the 2018-2, 2019-1, and 2019-2 securitization transactions.</w:t>
      </w:r>
    </w:p>
    <w:p>
      <w:pPr>
        <w:spacing w:after="0" w:line="18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summarize the aggregate value of assets and liabilities of unconsolidated VIEs in which the Company holds a variable interest but is not the primary beneficiary: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r>
      <w:tr>
        <w:trPr>
          <w:trHeight w:val="231"/>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7"/>
                <w:szCs w:val="17"/>
                <w:b w:val="1"/>
                <w:bCs w:val="1"/>
                <w:color w:val="auto"/>
              </w:rPr>
              <w:t>Net Assets</w:t>
            </w: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r>
      <w:tr>
        <w:trPr>
          <w:trHeight w:val="20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217,321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160,248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57,073</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15,503</w:t>
            </w:r>
          </w:p>
        </w:tc>
      </w:tr>
      <w:tr>
        <w:trPr>
          <w:trHeight w:val="517"/>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r>
      <w:tr>
        <w:trPr>
          <w:trHeight w:val="231"/>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7"/>
                <w:szCs w:val="17"/>
                <w:b w:val="1"/>
                <w:bCs w:val="1"/>
                <w:color w:val="auto"/>
              </w:rPr>
              <w:t>Net Assets</w:t>
            </w: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r>
      <w:tr>
        <w:trPr>
          <w:trHeight w:val="20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September 30, 2022</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89,796</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59,323</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30,473</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10,437</w:t>
            </w:r>
          </w:p>
        </w:tc>
      </w:tr>
    </w:tbl>
    <w:p>
      <w:pPr>
        <w:spacing w:after="0" w:line="29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carrying value of assets that relate to variable interests in unconsolidated VIEs consists of $8.3 million and $3.5 million of securitization notes and residual certificates which are included in other assets on the condensed consolidated balance sheets as of December 31, 2021 and September 30, 2022, respectively. The Company also had $7.2 million and $7.0 million of cash deposits made to reserve accounts for related securitizations, included in other assets on the condensed consolidated balance sheets as of December 31, 2021 and September 30, 2022, respectively.</w:t>
      </w:r>
    </w:p>
    <w:p>
      <w:pPr>
        <w:spacing w:after="0" w:line="18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Retained Interest in Unconsolidated VIEs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majority-owned affiliates are subject principally to the credit and prepayment risk stemming from the underlying unsecured personal whole loans.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Off-Balance Sheet Loans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routinely contributes loans to securitization transactions which it co-sponsors as a non-retaining sponsor. As a non-retaining sponsor and a servicer of these transactions, the Company does not retain economic risk in these deals. Contributions of loans to these securitizations are recognized as transfers under ASC 860, Transfers and Servicing.</w:t>
      </w: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assets and liabilities measured at fair value and categorized as Level 3 in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700,455</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Loan servicing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37,037</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279,153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740,951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4,810</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Trailing fee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Level 2 or Level 3 of the fair value hierarchy during the periods presented.</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classifications based on changes in the Company’s intent. As of December 31, 2021, $142.7 million and $109.8 million of loans held on the Company’s condensed consolidated balance sheets were classified as held-for-sale and held-for-investment, respectively. As of September 30, 2022, $647.2 million and $53.3 million of loans held on the Company’s condensed consolidated balance sheets were classified as held-for-sale and held-for-investment, respectively.</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0"/>
              </w:rPr>
              <w:t>December 31, 2021</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89"/>
              </w:rPr>
              <w:t>September 30, 2022</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3.42 %</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5.90 %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20.88 %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10.80 %</w:t>
            </w:r>
          </w:p>
        </w:tc>
        <w:tc>
          <w:tcPr>
            <w:tcW w:w="0" w:type="dxa"/>
            <w:vAlign w:val="bottom"/>
          </w:tcPr>
          <w:p>
            <w:pPr>
              <w:spacing w:after="0"/>
              <w:rPr>
                <w:sz w:val="1"/>
                <w:szCs w:val="1"/>
                <w:color w:val="auto"/>
              </w:rPr>
            </w:pPr>
          </w:p>
        </w:tc>
      </w:tr>
      <w:tr>
        <w:trPr>
          <w:trHeight w:val="219"/>
        </w:trPr>
        <w:tc>
          <w:tcPr>
            <w:tcW w:w="23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7"/>
                <w:szCs w:val="17"/>
                <w:color w:val="auto"/>
              </w:rPr>
              <w:t>0.08 %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55.79 %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17.98 %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93.09 %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17.40 %</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93.43 %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40" w:hanging="618"/>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5" w:lineRule="exact"/>
        <w:rPr>
          <w:rFonts w:ascii="Arial" w:cs="Arial" w:eastAsia="Arial" w:hAnsi="Arial"/>
          <w:sz w:val="14"/>
          <w:szCs w:val="14"/>
          <w:color w:val="auto"/>
        </w:rPr>
      </w:pPr>
    </w:p>
    <w:p>
      <w:pPr>
        <w:ind w:left="1240" w:hanging="618"/>
        <w:spacing w:after="0"/>
        <w:tabs>
          <w:tab w:leader="none" w:pos="1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rates of return used to discount future expected cash flows to arrive at a present value, which represents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84"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 a loan as a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original principal amount of the loan. The assumption regarding cumulative prepayments impact the projected balances and expected terms of the loans.</w:t>
      </w:r>
    </w:p>
    <w:p>
      <w:pPr>
        <w:spacing w:after="0" w:line="1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above inputs are similarly used in estimating fair value of related financial instruments. Refer to the Assets and Liabilities related to Securitization Transactions section below for more information.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sensitivity of the loans held-for-sale and held-for-investment to adverse changes in key assumptions used in the valuation model as of December 31, 2021 and September 30, 2022, respectively.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700,455</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Discount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100 basis point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(8,482)</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200 basis point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(16,793)</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credit loss rates on underlying loans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(8,691)</w:t>
            </w: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(17,386)</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Expected prepayment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(3,277)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ind w:left="620"/>
              <w:spacing w:after="0"/>
              <w:rPr>
                <w:sz w:val="20"/>
                <w:szCs w:val="20"/>
                <w:color w:val="auto"/>
              </w:rPr>
            </w:pPr>
            <w:r>
              <w:rPr>
                <w:rFonts w:ascii="Arial" w:cs="Arial" w:eastAsia="Arial" w:hAnsi="Arial"/>
                <w:sz w:val="17"/>
                <w:szCs w:val="17"/>
                <w:i w:val="1"/>
                <w:iCs w:val="1"/>
                <w:color w:val="auto"/>
              </w:rPr>
              <w:t>Rollforward of Level 3 Fair Values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38"/>
        </w:trPr>
        <w:tc>
          <w:tcPr>
            <w:tcW w:w="8060" w:type="dxa"/>
            <w:vAlign w:val="bottom"/>
            <w:gridSpan w:val="5"/>
          </w:tcPr>
          <w:p>
            <w:pPr>
              <w:ind w:left="620"/>
              <w:spacing w:after="0"/>
              <w:rPr>
                <w:sz w:val="20"/>
                <w:szCs w:val="20"/>
                <w:color w:val="auto"/>
              </w:rPr>
            </w:pPr>
            <w:r>
              <w:rPr>
                <w:rFonts w:ascii="Arial" w:cs="Arial" w:eastAsia="Arial" w:hAnsi="Arial"/>
                <w:sz w:val="17"/>
                <w:szCs w:val="17"/>
                <w:color w:val="auto"/>
                <w:w w:val="94"/>
              </w:rPr>
              <w:t>The following tables include a rollforward of the loans classified within Level 3 of the fair value hierarchy:</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4"/>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19"/>
                <w:szCs w:val="19"/>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55,570</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82,311</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41,994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50,190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92,184</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(34,429)</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2,458,757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2,458,757</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(2,458,757)</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(7,956)</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(2,889)</w:t>
            </w: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98,417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129,625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98"/>
        </w:trPr>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8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1"/>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60,232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18,228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78,460</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173,043</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(101,330)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(101,330)</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5,872,988</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(5,872,988)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(5,872,988)</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(1,921)</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98,417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129,625</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1"/>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605,319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18,444</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623,763</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333,779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41,402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375,181</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(232,302)</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722,080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722,080</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(722,080)</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(43,748)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(46,447)</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(21,059)</w:t>
            </w: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647,178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53,277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700,455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1"/>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20"/>
                <w:szCs w:val="20"/>
                <w:color w:val="auto"/>
              </w:rPr>
            </w:pPr>
          </w:p>
        </w:tc>
        <w:tc>
          <w:tcPr>
            <w:tcW w:w="1260" w:type="dxa"/>
            <w:vAlign w:val="bottom"/>
          </w:tcPr>
          <w:p>
            <w:pPr>
              <w:jc w:val="right"/>
              <w:ind w:right="534"/>
              <w:spacing w:after="0"/>
              <w:rPr>
                <w:sz w:val="20"/>
                <w:szCs w:val="20"/>
                <w:color w:val="auto"/>
              </w:rPr>
            </w:pPr>
            <w:r>
              <w:rPr>
                <w:rFonts w:ascii="Arial" w:cs="Arial" w:eastAsia="Arial" w:hAnsi="Arial"/>
                <w:sz w:val="17"/>
                <w:szCs w:val="17"/>
                <w:b w:val="1"/>
                <w:bCs w:val="1"/>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109,792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252,477</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 from HFS to HFI</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103,679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(103,679)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1,514,822</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(866,984)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(866,984)</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5,519,116</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(5,519,116)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(5,519,116)</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(131,760)</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(68,329)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(5,047)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(73,376)</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5,276</w:t>
            </w: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647,178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53,277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700,455</w:t>
            </w: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fair value and aggregate principal outstanding of all loans and loans that were 90 days or more past due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240"/>
              <w:spacing w:after="0"/>
              <w:rPr>
                <w:sz w:val="20"/>
                <w:szCs w:val="20"/>
                <w:color w:val="auto"/>
              </w:rPr>
            </w:pPr>
            <w:r>
              <w:rPr>
                <w:rFonts w:ascii="Arial" w:cs="Arial" w:eastAsia="Arial" w:hAnsi="Arial"/>
                <w:sz w:val="17"/>
                <w:szCs w:val="17"/>
                <w:b w:val="1"/>
                <w:bCs w:val="1"/>
                <w:color w:val="auto"/>
                <w:w w:val="95"/>
              </w:rPr>
              <w:t>Loans</w:t>
            </w:r>
          </w:p>
        </w:tc>
        <w:tc>
          <w:tcPr>
            <w:tcW w:w="1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ind w:left="500"/>
              <w:spacing w:after="0"/>
              <w:rPr>
                <w:sz w:val="20"/>
                <w:szCs w:val="20"/>
                <w:color w:val="auto"/>
              </w:rPr>
            </w:pPr>
            <w:r>
              <w:rPr>
                <w:rFonts w:ascii="Arial" w:cs="Arial" w:eastAsia="Arial" w:hAnsi="Arial"/>
                <w:sz w:val="17"/>
                <w:szCs w:val="17"/>
                <w:b w:val="1"/>
                <w:bCs w:val="1"/>
                <w:color w:val="auto"/>
              </w:rPr>
              <w:t>Loans &gt; 90 Days Past Due</w:t>
            </w:r>
          </w:p>
        </w:tc>
      </w:tr>
      <w:tr>
        <w:trPr>
          <w:trHeight w:val="207"/>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December 31,</w:t>
            </w:r>
          </w:p>
        </w:tc>
        <w:tc>
          <w:tcPr>
            <w:tcW w:w="220" w:type="dxa"/>
            <w:vAlign w:val="bottom"/>
          </w:tcPr>
          <w:p>
            <w:pPr>
              <w:spacing w:after="0"/>
              <w:rPr>
                <w:sz w:val="18"/>
                <w:szCs w:val="18"/>
                <w:color w:val="auto"/>
              </w:rPr>
            </w:pPr>
          </w:p>
        </w:tc>
        <w:tc>
          <w:tcPr>
            <w:tcW w:w="1400" w:type="dxa"/>
            <w:vAlign w:val="bottom"/>
          </w:tcPr>
          <w:p>
            <w:pPr>
              <w:jc w:val="center"/>
              <w:ind w:right="134"/>
              <w:spacing w:after="0"/>
              <w:rPr>
                <w:sz w:val="20"/>
                <w:szCs w:val="20"/>
                <w:color w:val="auto"/>
              </w:rPr>
            </w:pPr>
            <w:r>
              <w:rPr>
                <w:rFonts w:ascii="Arial" w:cs="Arial" w:eastAsia="Arial" w:hAnsi="Arial"/>
                <w:sz w:val="17"/>
                <w:szCs w:val="17"/>
                <w:b w:val="1"/>
                <w:bCs w:val="1"/>
                <w:color w:val="auto"/>
                <w:w w:val="91"/>
              </w:rPr>
              <w:t>September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September 30,</w:t>
            </w:r>
          </w:p>
        </w:tc>
      </w:tr>
      <w:tr>
        <w:trPr>
          <w:trHeight w:val="224"/>
        </w:trPr>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277,228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7"/>
              </w:rPr>
              <w:t>785,856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center"/>
              <w:ind w:left="834"/>
              <w:spacing w:after="0"/>
              <w:rPr>
                <w:sz w:val="20"/>
                <w:szCs w:val="20"/>
                <w:color w:val="auto"/>
              </w:rPr>
            </w:pPr>
            <w:r>
              <w:rPr>
                <w:rFonts w:ascii="Arial" w:cs="Arial" w:eastAsia="Arial" w:hAnsi="Arial"/>
                <w:sz w:val="17"/>
                <w:szCs w:val="17"/>
                <w:color w:val="auto"/>
                <w:w w:val="93"/>
              </w:rPr>
              <w:t>8,801</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fair value and accrued interest adjustments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4"/>
              </w:rPr>
              <w:t>(24,751)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1"/>
              </w:rPr>
              <w:t>(85,401)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left="814"/>
              <w:spacing w:after="0"/>
              <w:rPr>
                <w:sz w:val="20"/>
                <w:szCs w:val="20"/>
                <w:color w:val="auto"/>
              </w:rPr>
            </w:pPr>
            <w:r>
              <w:rPr>
                <w:rFonts w:ascii="Arial" w:cs="Arial" w:eastAsia="Arial" w:hAnsi="Arial"/>
                <w:sz w:val="17"/>
                <w:szCs w:val="17"/>
                <w:color w:val="auto"/>
                <w:w w:val="92"/>
              </w:rPr>
              <w:t>(7,056)</w:t>
            </w:r>
          </w:p>
        </w:tc>
      </w:tr>
      <w:tr>
        <w:trPr>
          <w:trHeight w:val="238"/>
        </w:trPr>
        <w:tc>
          <w:tcPr>
            <w:tcW w:w="44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Fair value</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97"/>
              </w:rPr>
              <w:t>252,477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7"/>
              </w:rPr>
              <w:t>700,455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3"/>
              </w:rPr>
              <w:t>1,745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347"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$50.1 million and $394.1 million of auto loans as of December 31, 2021 and September 30, 2022, respectively, of which an immaterial amount is 90 days or more past due for each period presented.</w:t>
      </w:r>
    </w:p>
    <w:p>
      <w:pPr>
        <w:spacing w:after="0" w:line="22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related to Securitization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of December 31, 2021 and September 30, 2022, the Company held notes receivable and residual certificates with an aggregate fair value of $8.3 million and $3.5 million, respectively, within other assets on the Company’s condensed consolidated balance sheets. The balances consist of securitization notes and residual certificates corresponding to the 5% economic risk retention the Company is required to maintain as the retaining sponsor of the unconsolidated securitizations.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December 31, 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September 30, 2022</w:t>
            </w:r>
          </w:p>
        </w:tc>
        <w:tc>
          <w:tcPr>
            <w:tcW w:w="1300" w:type="dxa"/>
            <w:vAlign w:val="bottom"/>
            <w:tcBorders>
              <w:bottom w:val="single" w:sz="8" w:color="auto"/>
            </w:tcBorders>
          </w:tcPr>
          <w:p>
            <w:pPr>
              <w:spacing w:after="0"/>
              <w:rPr>
                <w:sz w:val="19"/>
                <w:szCs w:val="19"/>
                <w:color w:val="auto"/>
              </w:rPr>
            </w:pPr>
          </w:p>
        </w:tc>
      </w:tr>
      <w:tr>
        <w:trPr>
          <w:trHeight w:val="161"/>
        </w:trPr>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r>
      <w:tr>
        <w:trPr>
          <w:trHeight w:val="232"/>
        </w:trPr>
        <w:tc>
          <w:tcPr>
            <w:tcW w:w="2960" w:type="dxa"/>
            <w:vAlign w:val="bottom"/>
          </w:tcPr>
          <w:p>
            <w:pPr>
              <w:spacing w:after="0"/>
              <w:rPr>
                <w:sz w:val="20"/>
                <w:szCs w:val="20"/>
                <w:color w:val="auto"/>
              </w:rPr>
            </w:pPr>
          </w:p>
        </w:tc>
        <w:tc>
          <w:tcPr>
            <w:tcW w:w="1280" w:type="dxa"/>
            <w:vAlign w:val="bottom"/>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400" w:type="dxa"/>
            <w:vAlign w:val="bottom"/>
            <w:gridSpan w:val="2"/>
          </w:tcPr>
          <w:p>
            <w:pPr>
              <w:jc w:val="right"/>
              <w:ind w:right="360"/>
              <w:spacing w:after="0" w:line="232"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c>
          <w:tcPr>
            <w:tcW w:w="1300" w:type="dxa"/>
            <w:vAlign w:val="bottom"/>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300" w:type="dxa"/>
            <w:vAlign w:val="bottom"/>
          </w:tcPr>
          <w:p>
            <w:pPr>
              <w:jc w:val="right"/>
              <w:ind w:right="174"/>
              <w:spacing w:after="0" w:line="232"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r>
      <w:tr>
        <w:trPr>
          <w:trHeight w:val="194"/>
        </w:trPr>
        <w:tc>
          <w:tcPr>
            <w:tcW w:w="296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Notes receivable and residual</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1280" w:type="dxa"/>
            <w:vAlign w:val="bottom"/>
          </w:tcPr>
          <w:p>
            <w:pPr>
              <w:jc w:val="right"/>
              <w:spacing w:after="0"/>
              <w:rPr>
                <w:sz w:val="20"/>
                <w:szCs w:val="20"/>
                <w:color w:val="auto"/>
              </w:rPr>
            </w:pPr>
            <w:r>
              <w:rPr>
                <w:rFonts w:ascii="Arial" w:cs="Arial" w:eastAsia="Arial" w:hAnsi="Arial"/>
                <w:sz w:val="17"/>
                <w:szCs w:val="17"/>
                <w:color w:val="auto"/>
              </w:rPr>
              <w:t>4.96 %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15.72 %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5.79 %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20.35 %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11.21 %</w:t>
            </w:r>
          </w:p>
        </w:tc>
      </w:tr>
      <w:tr>
        <w:trPr>
          <w:trHeight w:val="220"/>
        </w:trPr>
        <w:tc>
          <w:tcPr>
            <w:tcW w:w="29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18.73 %</w:t>
            </w:r>
          </w:p>
        </w:tc>
      </w:tr>
      <w:tr>
        <w:trPr>
          <w:trHeight w:val="291"/>
        </w:trPr>
        <w:tc>
          <w:tcPr>
            <w:tcW w:w="296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36.08 %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27.82 %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35.03 %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28.03 %</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ind w:left="460" w:hanging="457"/>
        <w:spacing w:after="0"/>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8% decrease in the fair value of the residual certificates as of September 30, 2022. The remaining classes of securities, with the exception of those in 2018-2, are all overcollateralized such that changes in credit risk rates are not expected to have significant impacts on their fair values.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0.69% and 0.57% as of December 31, 2021 and September 30, 2022, respectively. On average, a hypothetical 200 basis point increase in discount rates results in a decrease in fair value of securitization notes and residual certificates of 1.37% and 1.13% as of December 31, 2021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 of securitization notes and residual certificates are not sensitive to adverse changes in expected prepayment rates as such changes would not result in a significant impact on the fair value as of December 31, 2021 and September 30, 2022.</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4"/>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3"/>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12,995</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(2,766)</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10,489</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8"/>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19,074</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(9,115)</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10,489</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8"/>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7"/>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4,698</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(1,596)</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3,459</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24"/>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3"/>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8,288</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(5,508)</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3,459</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 Servicing Assets and Liabilities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generally based on the monthly unpaid principal balance of the underlying loans, the expected cash flows in the model incorporate estimates of net losses and prepayments.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 servicing assets and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ind w:left="80"/>
              <w:spacing w:after="0"/>
              <w:rPr>
                <w:sz w:val="20"/>
                <w:szCs w:val="20"/>
                <w:color w:val="auto"/>
              </w:rPr>
            </w:pPr>
            <w:r>
              <w:rPr>
                <w:rFonts w:ascii="Arial" w:cs="Arial" w:eastAsia="Arial" w:hAnsi="Arial"/>
                <w:sz w:val="17"/>
                <w:szCs w:val="17"/>
                <w:b w:val="1"/>
                <w:bCs w:val="1"/>
                <w:color w:val="auto"/>
              </w:rPr>
              <w:t>December 31, 2021</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3"/>
          </w:tcPr>
          <w:p>
            <w:pPr>
              <w:jc w:val="right"/>
              <w:ind w:right="1299"/>
              <w:spacing w:after="0"/>
              <w:rPr>
                <w:sz w:val="20"/>
                <w:szCs w:val="20"/>
                <w:color w:val="auto"/>
              </w:rPr>
            </w:pPr>
            <w:r>
              <w:rPr>
                <w:rFonts w:ascii="Arial" w:cs="Arial" w:eastAsia="Arial" w:hAnsi="Arial"/>
                <w:sz w:val="17"/>
                <w:szCs w:val="17"/>
                <w:b w:val="1"/>
                <w:bCs w:val="1"/>
                <w:color w:val="auto"/>
                <w:w w:val="91"/>
              </w:rPr>
              <w:t>September 30, 2022</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Minimum</w:t>
            </w:r>
          </w:p>
        </w:tc>
        <w:tc>
          <w:tcPr>
            <w:tcW w:w="138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7"/>
                <w:szCs w:val="17"/>
                <w:b w:val="1"/>
                <w:bCs w:val="1"/>
                <w:color w:val="auto"/>
              </w:rPr>
              <w:t>Maximum</w:t>
            </w:r>
          </w:p>
        </w:tc>
        <w:tc>
          <w:tcPr>
            <w:tcW w:w="15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8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Minimum</w:t>
            </w:r>
          </w:p>
        </w:tc>
        <w:tc>
          <w:tcPr>
            <w:tcW w:w="13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Maximum</w:t>
            </w:r>
          </w:p>
        </w:tc>
        <w:tc>
          <w:tcPr>
            <w:tcW w:w="14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tcPr>
          <w:p>
            <w:pPr>
              <w:jc w:val="right"/>
              <w:ind w:right="599"/>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tcPr>
          <w:p>
            <w:pPr>
              <w:jc w:val="right"/>
              <w:ind w:right="599"/>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17.69 %</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17.32 %</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52.78 %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18.36 %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91.58 %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16.76 %</w:t>
            </w:r>
          </w:p>
        </w:tc>
        <w:tc>
          <w:tcPr>
            <w:tcW w:w="0" w:type="dxa"/>
            <w:vAlign w:val="bottom"/>
          </w:tcPr>
          <w:p>
            <w:pPr>
              <w:spacing w:after="0"/>
              <w:rPr>
                <w:sz w:val="1"/>
                <w:szCs w:val="1"/>
                <w:color w:val="auto"/>
              </w:rPr>
            </w:pPr>
          </w:p>
        </w:tc>
      </w:tr>
      <w:tr>
        <w:trPr>
          <w:trHeight w:val="245"/>
        </w:trPr>
        <w:tc>
          <w:tcPr>
            <w:tcW w:w="2740" w:type="dxa"/>
            <w:vAlign w:val="bottom"/>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Market-servicing rate </w:t>
            </w:r>
            <w:r>
              <w:rPr>
                <w:rFonts w:ascii="Arial" w:cs="Arial" w:eastAsia="Arial" w:hAnsi="Arial"/>
                <w:sz w:val="22"/>
                <w:szCs w:val="22"/>
                <w:color w:val="auto"/>
                <w:vertAlign w:val="superscript"/>
              </w:rPr>
              <w:t>(3)(4)(5)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0" w:type="dxa"/>
            <w:vAlign w:val="bottom"/>
          </w:tcPr>
          <w:p>
            <w:pPr>
              <w:spacing w:after="0"/>
              <w:rPr>
                <w:sz w:val="1"/>
                <w:szCs w:val="1"/>
                <w:color w:val="auto"/>
              </w:rPr>
            </w:pPr>
          </w:p>
        </w:tc>
      </w:tr>
      <w:tr>
        <w:trPr>
          <w:trHeight w:val="291"/>
        </w:trPr>
        <w:tc>
          <w:tcPr>
            <w:tcW w:w="274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91.43 %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36.39 %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0.28 %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91.99 %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40.73 %</w:t>
            </w: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 w:lineRule="exact"/>
        <w:rPr>
          <w:rFonts w:ascii="Arial" w:cs="Arial" w:eastAsia="Arial" w:hAnsi="Arial"/>
          <w:sz w:val="14"/>
          <w:szCs w:val="14"/>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6" w:lineRule="exact"/>
        <w:rPr>
          <w:rFonts w:ascii="Arial" w:cs="Arial" w:eastAsia="Arial" w:hAnsi="Arial"/>
          <w:sz w:val="14"/>
          <w:szCs w:val="14"/>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6" w:lineRule="exact"/>
        <w:rPr>
          <w:rFonts w:ascii="Arial" w:cs="Arial" w:eastAsia="Arial" w:hAnsi="Arial"/>
          <w:sz w:val="14"/>
          <w:szCs w:val="14"/>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3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in servicing rights would require when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Credit risk rate</w:t>
      </w:r>
      <w:r>
        <w:rPr>
          <w:rFonts w:ascii="Arial" w:cs="Arial" w:eastAsia="Arial" w:hAnsi="Arial"/>
          <w:sz w:val="17"/>
          <w:szCs w:val="17"/>
          <w:color w:val="auto"/>
        </w:rPr>
        <w:t>s–The credit risk rates are the Company’s estimate of the net cumulative principal payments that will not be repaid over the entire life of a</w:t>
      </w:r>
      <w:r>
        <w:rPr>
          <w:rFonts w:ascii="Arial" w:cs="Arial" w:eastAsia="Arial" w:hAnsi="Arial"/>
          <w:sz w:val="17"/>
          <w:szCs w:val="17"/>
          <w:i w:val="1"/>
          <w:iCs w:val="1"/>
          <w:color w:val="auto"/>
        </w:rPr>
        <w:t xml:space="preserve"> </w:t>
      </w:r>
      <w:r>
        <w:rPr>
          <w:rFonts w:ascii="Arial" w:cs="Arial" w:eastAsia="Arial" w:hAnsi="Arial"/>
          <w:sz w:val="17"/>
          <w:szCs w:val="17"/>
          <w:color w:val="auto"/>
        </w:rPr>
        <w:t>loan expressed as a percentage of the original principal amount of the loan. The assumption regarding net cumulative losses impact the projected balances and expected terms of the loans, which are used to project future servicing revenues.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 rate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Prepayment rates</w:t>
      </w:r>
      <w:r>
        <w:rPr>
          <w:rFonts w:ascii="Arial" w:cs="Arial" w:eastAsia="Arial" w:hAnsi="Arial"/>
          <w:sz w:val="17"/>
          <w:szCs w:val="17"/>
          <w:color w:val="auto"/>
        </w:rPr>
        <w:t>–Prepayment rates are the Company’s estimate of the cumulative principal prepayments that will occur over the entire life of a loan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original principal amount of the loan. The assumption regarding cumulative prepayments impact the projected balances and expected terms of the loans, which are used to project future servicing revenues.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following table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2021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1"/>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 servicing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center"/>
              <w:ind w:left="754"/>
              <w:spacing w:after="0"/>
              <w:rPr>
                <w:sz w:val="20"/>
                <w:szCs w:val="20"/>
                <w:color w:val="auto"/>
              </w:rPr>
            </w:pPr>
            <w:r>
              <w:rPr>
                <w:rFonts w:ascii="Arial" w:cs="Arial" w:eastAsia="Arial" w:hAnsi="Arial"/>
                <w:sz w:val="17"/>
                <w:szCs w:val="17"/>
                <w:color w:val="auto"/>
                <w:w w:val="92"/>
              </w:rPr>
              <w:t>37,037</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Expected market-servicing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734"/>
              <w:spacing w:after="0"/>
              <w:rPr>
                <w:sz w:val="20"/>
                <w:szCs w:val="20"/>
                <w:color w:val="auto"/>
              </w:rPr>
            </w:pPr>
            <w:r>
              <w:rPr>
                <w:rFonts w:ascii="Arial" w:cs="Arial" w:eastAsia="Arial" w:hAnsi="Arial"/>
                <w:sz w:val="17"/>
                <w:szCs w:val="17"/>
                <w:color w:val="auto"/>
                <w:w w:val="91"/>
              </w:rPr>
              <w:t>(10,505)</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(11,002)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734"/>
              <w:spacing w:after="0"/>
              <w:rPr>
                <w:sz w:val="20"/>
                <w:szCs w:val="20"/>
                <w:color w:val="auto"/>
              </w:rPr>
            </w:pPr>
            <w:r>
              <w:rPr>
                <w:rFonts w:ascii="Arial" w:cs="Arial" w:eastAsia="Arial" w:hAnsi="Arial"/>
                <w:sz w:val="17"/>
                <w:szCs w:val="17"/>
                <w:color w:val="auto"/>
                <w:w w:val="91"/>
              </w:rPr>
              <w:t>(20,976)</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b w:val="1"/>
                <w:bCs w:val="1"/>
                <w:color w:val="auto"/>
                <w:w w:val="90"/>
              </w:rPr>
              <w:t>Fair value of loan servicing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4,810</w:t>
            </w:r>
          </w:p>
        </w:tc>
      </w:tr>
      <w:tr>
        <w:trPr>
          <w:trHeight w:val="218"/>
        </w:trPr>
        <w:tc>
          <w:tcPr>
            <w:tcW w:w="7880" w:type="dxa"/>
            <w:vAlign w:val="bottom"/>
          </w:tcPr>
          <w:p>
            <w:pPr>
              <w:jc w:val="right"/>
              <w:ind w:right="5554"/>
              <w:spacing w:after="0"/>
              <w:rPr>
                <w:sz w:val="20"/>
                <w:szCs w:val="20"/>
                <w:color w:val="auto"/>
              </w:rPr>
            </w:pPr>
            <w:r>
              <w:rPr>
                <w:rFonts w:ascii="Arial" w:cs="Arial" w:eastAsia="Arial" w:hAnsi="Arial"/>
                <w:sz w:val="17"/>
                <w:szCs w:val="17"/>
                <w:color w:val="auto"/>
                <w:w w:val="91"/>
              </w:rPr>
              <w:t>Expected market-servicing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color w:val="auto"/>
                <w:w w:val="98"/>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w:t>
            </w:r>
          </w:p>
        </w:tc>
      </w:tr>
      <w:tr>
        <w:trPr>
          <w:trHeight w:val="218"/>
        </w:trPr>
        <w:tc>
          <w:tcPr>
            <w:tcW w:w="7880" w:type="dxa"/>
            <w:vAlign w:val="bottom"/>
          </w:tcPr>
          <w:p>
            <w:pPr>
              <w:jc w:val="right"/>
              <w:ind w:right="5074"/>
              <w:spacing w:after="0"/>
              <w:rPr>
                <w:sz w:val="20"/>
                <w:szCs w:val="20"/>
                <w:color w:val="auto"/>
              </w:rPr>
            </w:pPr>
            <w:r>
              <w:rPr>
                <w:rFonts w:ascii="Arial" w:cs="Arial" w:eastAsia="Arial" w:hAnsi="Arial"/>
                <w:sz w:val="17"/>
                <w:szCs w:val="17"/>
                <w:color w:val="auto"/>
                <w:w w:val="98"/>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5,712</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present a rollforward of the loan servicing assets and liabilities classified by the Company within Level 3 of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28"/>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2"/>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11,883</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2,783</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(7,478)</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12,380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7,188</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28"/>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2"/>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8,254</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14,833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10,610</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(11,676)</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12,380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7,188</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28"/>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78"/>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6,366</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6,048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(1,565)</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37,037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4,810</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7"/>
                <w:szCs w:val="17"/>
                <w:b w:val="1"/>
                <w:bCs w:val="1"/>
                <w:color w:val="auto"/>
              </w:rPr>
              <w:t>Loan Servicing</w:t>
            </w:r>
          </w:p>
        </w:tc>
        <w:tc>
          <w:tcPr>
            <w:tcW w:w="200" w:type="dxa"/>
            <w:vAlign w:val="bottom"/>
          </w:tcPr>
          <w:p>
            <w:pPr>
              <w:spacing w:after="0"/>
              <w:rPr>
                <w:sz w:val="16"/>
                <w:szCs w:val="16"/>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Loan Servicing</w:t>
            </w:r>
          </w:p>
        </w:tc>
      </w:tr>
      <w:tr>
        <w:trPr>
          <w:trHeight w:val="228"/>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42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4"/>
              </w:rPr>
              <w:t>Liabilities</w:t>
            </w:r>
          </w:p>
        </w:tc>
      </w:tr>
      <w:tr>
        <w:trPr>
          <w:trHeight w:val="217"/>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w w:val="99"/>
              </w:rPr>
              <w:t>18,388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3"/>
              </w:rPr>
              <w:t>8,780</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ind w:left="920"/>
              <w:spacing w:after="0"/>
              <w:rPr>
                <w:sz w:val="20"/>
                <w:szCs w:val="20"/>
                <w:color w:val="auto"/>
              </w:rPr>
            </w:pPr>
            <w:r>
              <w:rPr>
                <w:rFonts w:ascii="Arial" w:cs="Arial" w:eastAsia="Arial" w:hAnsi="Arial"/>
                <w:sz w:val="17"/>
                <w:szCs w:val="17"/>
                <w:color w:val="auto"/>
                <w:w w:val="99"/>
              </w:rPr>
              <w:t>26,066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834"/>
              <w:spacing w:after="0"/>
              <w:rPr>
                <w:sz w:val="20"/>
                <w:szCs w:val="20"/>
                <w:color w:val="auto"/>
              </w:rPr>
            </w:pPr>
            <w:r>
              <w:rPr>
                <w:rFonts w:ascii="Arial" w:cs="Arial" w:eastAsia="Arial" w:hAnsi="Arial"/>
                <w:sz w:val="17"/>
                <w:szCs w:val="17"/>
                <w:color w:val="auto"/>
                <w:w w:val="93"/>
              </w:rPr>
              <w:t>2,296</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w w:val="92"/>
              </w:rPr>
              <w:t>(7,417)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7"/>
                <w:szCs w:val="17"/>
                <w:color w:val="auto"/>
                <w:w w:val="92"/>
              </w:rPr>
              <w:t>(6,266)</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9"/>
              </w:rPr>
              <w:t>37,037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center"/>
              <w:ind w:left="834"/>
              <w:spacing w:after="0"/>
              <w:rPr>
                <w:sz w:val="20"/>
                <w:szCs w:val="20"/>
                <w:color w:val="auto"/>
              </w:rPr>
            </w:pPr>
            <w:r>
              <w:rPr>
                <w:rFonts w:ascii="Arial" w:cs="Arial" w:eastAsia="Arial" w:hAnsi="Arial"/>
                <w:sz w:val="17"/>
                <w:szCs w:val="17"/>
                <w:color w:val="auto"/>
                <w:w w:val="93"/>
              </w:rPr>
              <w:t>4,810</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Trailing Fee Liabilities</w:t>
      </w:r>
    </w:p>
    <w:p>
      <w:pPr>
        <w:spacing w:after="0" w:line="243"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3.42% to 16.49% and credit risk rates of 0.08% to 55.79% as of December 31, 2021 and discount rates of 5.90% to 20.88% and credit risk rates of 0.01% to 93.09% as of September 30, 2022.</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sensitivity of trailing fee liabilities to adverse changes in key assumptions would not result in a material impact on the Company’s financial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position.</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Trailing Fee</w:t>
      </w:r>
    </w:p>
    <w:p>
      <w:pPr>
        <w:jc w:val="center"/>
        <w:ind w:right="5"/>
        <w:spacing w:after="0"/>
        <w:rPr>
          <w:sz w:val="20"/>
          <w:szCs w:val="20"/>
          <w:color w:val="auto"/>
        </w:rPr>
      </w:pPr>
      <w:r>
        <w:rPr>
          <w:rFonts w:ascii="Arial" w:cs="Arial" w:eastAsia="Arial" w:hAnsi="Arial"/>
          <w:sz w:val="17"/>
          <w:szCs w:val="17"/>
          <w:b w:val="1"/>
          <w:bCs w:val="1"/>
          <w:color w:val="auto"/>
        </w:rPr>
        <w:t>Liabilities</w:t>
      </w:r>
    </w:p>
    <w:p>
      <w:pPr>
        <w:spacing w:after="0" w:line="35" w:lineRule="exact"/>
        <w:rPr>
          <w:sz w:val="20"/>
          <w:szCs w:val="20"/>
          <w:color w:val="auto"/>
        </w:rPr>
      </w:pPr>
    </w:p>
    <w:p>
      <w:pPr>
        <w:ind w:left="1155" w:hanging="1155"/>
        <w:spacing w:after="0"/>
        <w:tabs>
          <w:tab w:leader="none" w:pos="11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2,513</w:t>
      </w:r>
    </w:p>
    <w:p>
      <w:pPr>
        <w:spacing w:after="0" w:line="36" w:lineRule="exact"/>
        <w:rPr>
          <w:rFonts w:ascii="Arial" w:cs="Arial" w:eastAsia="Arial" w:hAnsi="Arial"/>
          <w:sz w:val="17"/>
          <w:szCs w:val="17"/>
          <w:color w:val="auto"/>
        </w:rPr>
      </w:pPr>
    </w:p>
    <w:p>
      <w:pPr>
        <w:ind w:left="1155"/>
        <w:spacing w:after="0"/>
        <w:rPr>
          <w:rFonts w:ascii="Arial" w:cs="Arial" w:eastAsia="Arial" w:hAnsi="Arial"/>
          <w:sz w:val="17"/>
          <w:szCs w:val="17"/>
          <w:color w:val="auto"/>
        </w:rPr>
      </w:pPr>
      <w:r>
        <w:rPr>
          <w:rFonts w:ascii="Arial" w:cs="Arial" w:eastAsia="Arial" w:hAnsi="Arial"/>
          <w:sz w:val="17"/>
          <w:szCs w:val="17"/>
          <w:color w:val="auto"/>
        </w:rPr>
        <w:t>1,148</w:t>
      </w:r>
    </w:p>
    <w:p>
      <w:pPr>
        <w:spacing w:after="0" w:line="23" w:lineRule="exact"/>
        <w:rPr>
          <w:rFonts w:ascii="Arial" w:cs="Arial" w:eastAsia="Arial" w:hAnsi="Arial"/>
          <w:sz w:val="17"/>
          <w:szCs w:val="17"/>
          <w:color w:val="auto"/>
        </w:rPr>
      </w:pPr>
    </w:p>
    <w:p>
      <w:pPr>
        <w:ind w:left="1215"/>
        <w:spacing w:after="0"/>
        <w:rPr>
          <w:rFonts w:ascii="Arial" w:cs="Arial" w:eastAsia="Arial" w:hAnsi="Arial"/>
          <w:sz w:val="17"/>
          <w:szCs w:val="17"/>
          <w:color w:val="auto"/>
        </w:rPr>
      </w:pPr>
      <w:r>
        <w:rPr>
          <w:rFonts w:ascii="Arial" w:cs="Arial" w:eastAsia="Arial" w:hAnsi="Arial"/>
          <w:sz w:val="16"/>
          <w:szCs w:val="16"/>
          <w:color w:val="auto"/>
        </w:rPr>
        <w:t>(350)</w:t>
      </w:r>
    </w:p>
    <w:p>
      <w:pPr>
        <w:spacing w:after="0" w:line="35" w:lineRule="exact"/>
        <w:rPr>
          <w:rFonts w:ascii="Arial" w:cs="Arial" w:eastAsia="Arial" w:hAnsi="Arial"/>
          <w:sz w:val="17"/>
          <w:szCs w:val="17"/>
          <w:color w:val="auto"/>
        </w:rPr>
      </w:pPr>
    </w:p>
    <w:p>
      <w:pPr>
        <w:ind w:left="1375"/>
        <w:spacing w:after="0"/>
        <w:rPr>
          <w:rFonts w:ascii="Arial" w:cs="Arial" w:eastAsia="Arial" w:hAnsi="Arial"/>
          <w:sz w:val="17"/>
          <w:szCs w:val="17"/>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-410210</wp:posOffset>
            </wp:positionV>
            <wp:extent cx="10394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7" w:lineRule="exact"/>
        <w:rPr>
          <w:sz w:val="20"/>
          <w:szCs w:val="20"/>
          <w:color w:val="auto"/>
        </w:rPr>
      </w:pPr>
    </w:p>
    <w:p>
      <w:pPr>
        <w:ind w:left="1155" w:hanging="1155"/>
        <w:spacing w:after="0"/>
        <w:tabs>
          <w:tab w:leader="none" w:pos="11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1039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Trailing Fee</w:t>
      </w:r>
    </w:p>
    <w:p>
      <w:pPr>
        <w:jc w:val="center"/>
        <w:ind w:right="5"/>
        <w:spacing w:after="0"/>
        <w:rPr>
          <w:sz w:val="20"/>
          <w:szCs w:val="20"/>
          <w:color w:val="auto"/>
        </w:rPr>
      </w:pPr>
      <w:r>
        <w:rPr>
          <w:rFonts w:ascii="Arial" w:cs="Arial" w:eastAsia="Arial" w:hAnsi="Arial"/>
          <w:sz w:val="17"/>
          <w:szCs w:val="17"/>
          <w:b w:val="1"/>
          <w:bCs w:val="1"/>
          <w:color w:val="auto"/>
        </w:rPr>
        <w:t>Liabilities</w:t>
      </w:r>
    </w:p>
    <w:p>
      <w:pPr>
        <w:spacing w:after="0" w:line="17" w:lineRule="exact"/>
        <w:rPr>
          <w:sz w:val="20"/>
          <w:szCs w:val="20"/>
          <w:color w:val="auto"/>
        </w:rPr>
      </w:pPr>
    </w:p>
    <w:p>
      <w:pPr>
        <w:sectPr>
          <w:pgSz w:w="11900" w:h="16838" w:orient="portrait"/>
          <w:cols w:equalWidth="0" w:num="2">
            <w:col w:w="8905" w:space="720"/>
            <w:col w:w="1615"/>
          </w:cols>
          <w:pgMar w:left="320" w:top="179"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Fair value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hanging="1155"/>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1,276</w:t>
      </w:r>
    </w:p>
    <w:p>
      <w:pPr>
        <w:spacing w:after="0" w:line="36"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2,753</w:t>
      </w:r>
    </w:p>
    <w:p>
      <w:pPr>
        <w:spacing w:after="0" w:line="23"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6"/>
          <w:szCs w:val="16"/>
          <w:color w:val="auto"/>
        </w:rPr>
        <w:t>(766)</w:t>
      </w:r>
    </w:p>
    <w:p>
      <w:pPr>
        <w:spacing w:after="0" w:line="35"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1039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7" w:lineRule="exact"/>
        <w:rPr>
          <w:sz w:val="20"/>
          <w:szCs w:val="20"/>
          <w:color w:val="auto"/>
        </w:rPr>
      </w:pPr>
    </w:p>
    <w:p>
      <w:pPr>
        <w:ind w:left="1160" w:hanging="1155"/>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3,334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039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Trailing Fee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Liabilities</w:t>
      </w:r>
    </w:p>
    <w:p>
      <w:pPr>
        <w:spacing w:after="0" w:line="23" w:lineRule="exact"/>
        <w:rPr>
          <w:sz w:val="20"/>
          <w:szCs w:val="20"/>
          <w:color w:val="auto"/>
        </w:rPr>
      </w:pPr>
    </w:p>
    <w:p>
      <w:pPr>
        <w:ind w:left="1160" w:hanging="1155"/>
        <w:spacing w:after="0"/>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5,446</w:t>
      </w:r>
    </w:p>
    <w:p>
      <w:pPr>
        <w:spacing w:after="0" w:line="49"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1039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(816)</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(47)</w:t>
      </w:r>
    </w:p>
    <w:p>
      <w:pPr>
        <w:spacing w:after="0" w:line="37" w:lineRule="exact"/>
        <w:rPr>
          <w:sz w:val="20"/>
          <w:szCs w:val="20"/>
          <w:color w:val="auto"/>
        </w:rPr>
      </w:pPr>
    </w:p>
    <w:p>
      <w:pPr>
        <w:ind w:left="1160" w:hanging="1155"/>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039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0" w:space="720"/>
            <w:col w:w="162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color w:val="0000FF"/>
        </w:rPr>
        <w:t>Table of Contents</w:t>
      </w:r>
    </w:p>
    <w:tbl>
      <w:tblPr>
        <w:tblLayout w:type="fixed"/>
        <w:tblInd w:w="0" w:type="dxa"/>
        <w:tblCellMar>
          <w:top w:w="0" w:type="dxa"/>
          <w:left w:w="0" w:type="dxa"/>
          <w:bottom w:w="0" w:type="dxa"/>
          <w:right w:w="0" w:type="dxa"/>
        </w:tblCellMar>
      </w:tblPr>
      <w:tr>
        <w:trPr>
          <w:trHeight w:val="243"/>
        </w:trPr>
        <w:tc>
          <w:tcPr>
            <w:tcW w:w="1220" w:type="dxa"/>
            <w:vAlign w:val="bottom"/>
            <w:tcBorders>
              <w:top w:val="single" w:sz="8" w:color="0000FF"/>
            </w:tcBorders>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93"/>
              </w:rPr>
              <w:t>Upstart Holdings, Inc.</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1220" w:type="dxa"/>
            <w:vAlign w:val="bottom"/>
          </w:tcPr>
          <w:p>
            <w:pPr>
              <w:spacing w:after="0"/>
              <w:rPr>
                <w:sz w:val="19"/>
                <w:szCs w:val="19"/>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89"/>
              </w:rPr>
              <w:t>Notes to Condensed Consolidated Financial Statements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8"/>
        </w:trPr>
        <w:tc>
          <w:tcPr>
            <w:tcW w:w="1220" w:type="dxa"/>
            <w:vAlign w:val="bottom"/>
          </w:tcPr>
          <w:p>
            <w:pPr>
              <w:spacing w:after="0"/>
              <w:rPr>
                <w:sz w:val="22"/>
                <w:szCs w:val="22"/>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0"/>
              </w:rPr>
              <w:t>(Tabular Amounts in Thousands, Except Share and Per Share Data and Ratios, or as Noted)</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5"/>
        </w:trPr>
        <w:tc>
          <w:tcPr>
            <w:tcW w:w="1220" w:type="dxa"/>
            <w:vAlign w:val="bottom"/>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4"/>
              </w:rPr>
              <w:t>(Unaudited)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891"/>
        </w:trPr>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274"/>
              <w:spacing w:after="0"/>
              <w:rPr>
                <w:sz w:val="20"/>
                <w:szCs w:val="20"/>
                <w:color w:val="auto"/>
              </w:rPr>
            </w:pPr>
            <w:r>
              <w:rPr>
                <w:rFonts w:ascii="Arial" w:cs="Arial" w:eastAsia="Arial" w:hAnsi="Arial"/>
                <w:sz w:val="17"/>
                <w:szCs w:val="17"/>
                <w:b w:val="1"/>
                <w:bCs w:val="1"/>
                <w:color w:val="auto"/>
              </w:rPr>
              <w:t>Trailing Fee</w:t>
            </w:r>
          </w:p>
        </w:tc>
      </w:tr>
      <w:tr>
        <w:trPr>
          <w:trHeight w:val="228"/>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7"/>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4,315</w:t>
            </w:r>
          </w:p>
        </w:tc>
      </w:tr>
      <w:tr>
        <w:trPr>
          <w:trHeight w:val="224"/>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Issuances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3,404</w:t>
            </w:r>
          </w:p>
        </w:tc>
      </w:tr>
      <w:tr>
        <w:trPr>
          <w:trHeight w:val="22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w:t>
            </w:r>
          </w:p>
        </w:tc>
      </w:tr>
      <w:tr>
        <w:trPr>
          <w:trHeight w:val="218"/>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r>
      <w:tr>
        <w:trPr>
          <w:trHeight w:val="23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September 30,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5,201</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980"/>
        <w:spacing w:after="0"/>
        <w:tabs>
          <w:tab w:leader="none" w:pos="124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April 2021, the Company completed its acquisition of Prodigy Software, Inc. (“Prodigy”). Prodigy provides an e-commerce platform for car dealerships which enables both online and in-store vehicle discovery, credit application, and checkout. Prodigy provides a modern multi-channel car buying experience, helping dealerships serve consumers with a holistic software solution that integrates legacy systems. In addition to modernizing the car buying experience, Prodigy has brought Upstart's AI enabled auto loans to dealerships across the country where a significant number of auto loans are transacted.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40" w:type="dxa"/>
            <w:vAlign w:val="bottom"/>
          </w:tcPr>
          <w:p>
            <w:pPr>
              <w:ind w:left="620"/>
              <w:spacing w:after="0"/>
              <w:rPr>
                <w:sz w:val="20"/>
                <w:szCs w:val="20"/>
                <w:color w:val="auto"/>
              </w:rPr>
            </w:pPr>
            <w:r>
              <w:rPr>
                <w:rFonts w:ascii="Arial" w:cs="Arial" w:eastAsia="Arial" w:hAnsi="Arial"/>
                <w:sz w:val="17"/>
                <w:szCs w:val="17"/>
                <w:color w:val="auto"/>
              </w:rPr>
              <w:t>The total consideration the Company provided for Prodigy was $89.0 million, comprised of the following:</w:t>
            </w: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8"/>
        </w:trPr>
        <w:tc>
          <w:tcPr>
            <w:tcW w:w="88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April 8, 2021</w:t>
            </w:r>
          </w:p>
        </w:tc>
      </w:tr>
      <w:tr>
        <w:trPr>
          <w:trHeight w:val="213"/>
        </w:trPr>
        <w:tc>
          <w:tcPr>
            <w:tcW w:w="884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Fair value of Upstart common stock issued to Prodigy stockholders</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70,121</w:t>
            </w:r>
          </w:p>
        </w:tc>
      </w:tr>
      <w:tr>
        <w:trPr>
          <w:trHeight w:val="219"/>
        </w:trPr>
        <w:tc>
          <w:tcPr>
            <w:tcW w:w="8840" w:type="dxa"/>
            <w:vAlign w:val="bottom"/>
          </w:tcPr>
          <w:p>
            <w:pPr>
              <w:ind w:left="20"/>
              <w:spacing w:after="0" w:line="219" w:lineRule="exact"/>
              <w:rPr>
                <w:sz w:val="20"/>
                <w:szCs w:val="20"/>
                <w:color w:val="auto"/>
              </w:rPr>
            </w:pPr>
            <w:r>
              <w:rPr>
                <w:rFonts w:ascii="Arial" w:cs="Arial" w:eastAsia="Arial" w:hAnsi="Arial"/>
                <w:sz w:val="17"/>
                <w:szCs w:val="17"/>
                <w:color w:val="auto"/>
              </w:rPr>
              <w:t>Cash paid to common and preferred stockholders, warrant holders, and vested option holders</w:t>
            </w:r>
            <w:r>
              <w:rPr>
                <w:rFonts w:ascii="Arial" w:cs="Arial" w:eastAsia="Arial" w:hAnsi="Arial"/>
                <w:sz w:val="22"/>
                <w:szCs w:val="22"/>
                <w:color w:val="auto"/>
                <w:vertAlign w:val="superscript"/>
              </w:rPr>
              <w:t>(2)</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17,151</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assumed Prodigy options attributable to pre-combination service period</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18"/>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Transactions costs paid by Upstart on behalf of Prodigy</w:t>
            </w: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w:t>
            </w:r>
          </w:p>
        </w:tc>
      </w:tr>
      <w:tr>
        <w:trPr>
          <w:trHeight w:val="23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46" w:lineRule="auto"/>
        <w:tabs>
          <w:tab w:leader="none" w:pos="3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40" w:hanging="337"/>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$1.9 million of the cash paid is being held in escrow as security for certain indemnification obligations of former Prodigy stockholders.</w:t>
      </w:r>
    </w:p>
    <w:p>
      <w:pPr>
        <w:spacing w:after="0" w:line="23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acquisition has been accounted for as a business combination. The purchase consideration was allocated to the tangible and intangible assets and liabilities acquired as of the acquisition date, with the excess recorded to goodwill as shown below. The values assigned to the assets acquired and liabilities assumed were based on estimates of fair value available to us as of the date of acquisition, and adjusted during the measurement period which ended on January 1, 2022. No material adjustments to the fair value of assets and liabilities were made during the measurement period.</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8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April 8, 2021</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66,866</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Acquisition-related intangible assets</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23,200</w:t>
            </w:r>
          </w:p>
        </w:tc>
      </w:tr>
      <w:tr>
        <w:trPr>
          <w:trHeight w:val="220"/>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Deferred tax liability, net</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(2,328)</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acquired and liabilities assumed, net</w:t>
            </w:r>
          </w:p>
        </w:tc>
        <w:tc>
          <w:tcPr>
            <w:tcW w:w="4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13"/>
        </w:trPr>
        <w:tc>
          <w:tcPr>
            <w:tcW w:w="884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89,044</w:t>
            </w:r>
          </w:p>
        </w:tc>
      </w:tr>
      <w:tr>
        <w:trPr>
          <w:trHeight w:val="20"/>
        </w:trPr>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recognized acquisition-related costs of $1.2 million in the nine months ended September 30, 2021, which are included in the general and administrative expense in the condensed consolidated statement of operations and comprehensive income (loss). No acquisition-related costs were incurred during the nine months ended September 30, 2022.</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fair values of the acquisition-related intangible assets acquired as of the acquisition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1800" w:type="dxa"/>
            <w:vAlign w:val="bottom"/>
          </w:tcPr>
          <w:p>
            <w:pPr>
              <w:jc w:val="right"/>
              <w:ind w:right="114"/>
              <w:spacing w:after="0"/>
              <w:rPr>
                <w:sz w:val="20"/>
                <w:szCs w:val="20"/>
                <w:color w:val="auto"/>
              </w:rPr>
            </w:pPr>
            <w:r>
              <w:rPr>
                <w:rFonts w:ascii="Arial" w:cs="Arial" w:eastAsia="Arial" w:hAnsi="Arial"/>
                <w:sz w:val="17"/>
                <w:szCs w:val="17"/>
                <w:b w:val="1"/>
                <w:bCs w:val="1"/>
                <w:color w:val="auto"/>
              </w:rPr>
              <w:t>Fair values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1"/>
        </w:trPr>
        <w:tc>
          <w:tcPr>
            <w:tcW w:w="63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 thousands)</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Useful life (years)</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1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13,700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13"/>
        </w:trPr>
        <w:tc>
          <w:tcPr>
            <w:tcW w:w="634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1800" w:type="dxa"/>
            <w:vAlign w:val="bottom"/>
            <w:tcBorders>
              <w:bottom w:val="single" w:sz="8" w:color="auto"/>
            </w:tcBorders>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23,200</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weighted-average amortization period of 8.3 years at the time of acquisition.</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included the financial results of the acquired business in our condensed consolidated financial statements from the date of acquisition. These revenues and expenses were immaterial for the three and nine months ended September 30, 2021.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27"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Goodwill and Intangible Assets</w:t>
      </w:r>
    </w:p>
    <w:p>
      <w:pPr>
        <w:spacing w:after="0" w:line="3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During the nine months ended September 30, 2022, there were no changes in the carrying amount of goodwill of $67.1 million on the Company’s condensed consolidated balance sheets.</w:t>
      </w:r>
    </w:p>
    <w:p>
      <w:pPr>
        <w:spacing w:after="0" w:line="30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Acquired intangible assets subject to amortization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7"/>
                <w:szCs w:val="17"/>
                <w:b w:val="1"/>
                <w:bCs w:val="1"/>
                <w:color w:val="auto"/>
              </w:rPr>
              <w:t>September 30, 2022</w:t>
            </w: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Gross Carrying</w:t>
            </w:r>
          </w:p>
        </w:tc>
        <w:tc>
          <w:tcPr>
            <w:tcW w:w="2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Net Carrying</w:t>
            </w:r>
          </w:p>
        </w:tc>
        <w:tc>
          <w:tcPr>
            <w:tcW w:w="8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9"/>
              </w:rPr>
              <w:t>Weighted-Average</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0"/>
              </w:rPr>
              <w:t>Remaining Useful</w:t>
            </w:r>
          </w:p>
        </w:tc>
        <w:tc>
          <w:tcPr>
            <w:tcW w:w="0" w:type="dxa"/>
            <w:vAlign w:val="bottom"/>
          </w:tcPr>
          <w:p>
            <w:pPr>
              <w:spacing w:after="0"/>
              <w:rPr>
                <w:sz w:val="1"/>
                <w:szCs w:val="1"/>
                <w:color w:val="auto"/>
              </w:rPr>
            </w:pPr>
          </w:p>
        </w:tc>
      </w:tr>
      <w:tr>
        <w:trPr>
          <w:trHeight w:val="231"/>
        </w:trPr>
        <w:tc>
          <w:tcPr>
            <w:tcW w:w="4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Life (Years)</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11,987</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16,687</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Amortization expense was $1.1 million and $2.2 million for the three and nine months ended September 30, 2021, respectively, and was $1.1 million and $3.2 million for the three and nine months ended September 30, 2022,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color w:val="auto"/>
                <w:w w:val="96"/>
              </w:rPr>
              <w:t>Expected future amortization expense for intangible assets as of September 30, 2022 is as follows: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7800" w:type="dxa"/>
            <w:vAlign w:val="bottom"/>
          </w:tcPr>
          <w:p>
            <w:pPr>
              <w:ind w:left="20"/>
              <w:spacing w:after="0"/>
              <w:rPr>
                <w:sz w:val="20"/>
                <w:szCs w:val="20"/>
                <w:color w:val="auto"/>
              </w:rPr>
            </w:pPr>
            <w:r>
              <w:rPr>
                <w:rFonts w:ascii="Arial" w:cs="Arial" w:eastAsia="Arial" w:hAnsi="Arial"/>
                <w:sz w:val="17"/>
                <w:szCs w:val="17"/>
                <w:b w:val="1"/>
                <w:bCs w:val="1"/>
                <w:color w:val="auto"/>
              </w:rPr>
              <w:t>Fiscal Years: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4,275</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7,135</w:t>
            </w:r>
          </w:p>
        </w:tc>
        <w:tc>
          <w:tcPr>
            <w:tcW w:w="0" w:type="dxa"/>
            <w:vAlign w:val="bottom"/>
          </w:tcPr>
          <w:p>
            <w:pPr>
              <w:spacing w:after="0"/>
              <w:rPr>
                <w:sz w:val="1"/>
                <w:szCs w:val="1"/>
                <w:color w:val="auto"/>
              </w:rPr>
            </w:pPr>
          </w:p>
        </w:tc>
      </w:tr>
      <w:tr>
        <w:trPr>
          <w:trHeight w:val="233"/>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980"/>
              <w:spacing w:after="0"/>
              <w:rPr>
                <w:sz w:val="20"/>
                <w:szCs w:val="20"/>
                <w:color w:val="auto"/>
              </w:rPr>
            </w:pPr>
            <w:r>
              <w:rPr>
                <w:rFonts w:ascii="Arial" w:cs="Arial" w:eastAsia="Arial" w:hAnsi="Arial"/>
                <w:sz w:val="17"/>
                <w:szCs w:val="17"/>
                <w:b w:val="1"/>
                <w:bCs w:val="1"/>
                <w:color w:val="auto"/>
              </w:rPr>
              <w:t>7.  Balance Sheet Components</w:t>
            </w: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Other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Other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214"/>
              <w:spacing w:after="0"/>
              <w:rPr>
                <w:sz w:val="20"/>
                <w:szCs w:val="20"/>
                <w:color w:val="auto"/>
              </w:rPr>
            </w:pPr>
            <w:r>
              <w:rPr>
                <w:rFonts w:ascii="Arial" w:cs="Arial" w:eastAsia="Arial" w:hAnsi="Arial"/>
                <w:sz w:val="17"/>
                <w:szCs w:val="17"/>
                <w:b w:val="1"/>
                <w:bCs w:val="1"/>
                <w:color w:val="auto"/>
                <w:w w:val="94"/>
              </w:rPr>
              <w:t>September 30,</w:t>
            </w:r>
          </w:p>
        </w:tc>
        <w:tc>
          <w:tcPr>
            <w:tcW w:w="0" w:type="dxa"/>
            <w:vAlign w:val="bottom"/>
          </w:tcPr>
          <w:p>
            <w:pPr>
              <w:spacing w:after="0"/>
              <w:rPr>
                <w:sz w:val="1"/>
                <w:szCs w:val="1"/>
                <w:color w:val="auto"/>
              </w:rPr>
            </w:pP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55,518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49,878</w:t>
            </w:r>
          </w:p>
        </w:tc>
        <w:tc>
          <w:tcPr>
            <w:tcW w:w="0" w:type="dxa"/>
            <w:vAlign w:val="bottom"/>
          </w:tcPr>
          <w:p>
            <w:pPr>
              <w:spacing w:after="0"/>
              <w:rPr>
                <w:sz w:val="1"/>
                <w:szCs w:val="1"/>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Loan servicing assets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18,388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37,037</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23,564</w:t>
            </w:r>
          </w:p>
        </w:tc>
        <w:tc>
          <w:tcPr>
            <w:tcW w:w="0" w:type="dxa"/>
            <w:vAlign w:val="bottom"/>
          </w:tcPr>
          <w:p>
            <w:pPr>
              <w:spacing w:after="0"/>
              <w:rPr>
                <w:sz w:val="1"/>
                <w:szCs w:val="1"/>
                <w:color w:val="auto"/>
              </w:rPr>
            </w:pP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8,809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8,968</w:t>
            </w:r>
          </w:p>
        </w:tc>
        <w:tc>
          <w:tcPr>
            <w:tcW w:w="0" w:type="dxa"/>
            <w:vAlign w:val="bottom"/>
          </w:tcPr>
          <w:p>
            <w:pPr>
              <w:spacing w:after="0"/>
              <w:rPr>
                <w:sz w:val="1"/>
                <w:szCs w:val="1"/>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Deposits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8,796</w:t>
            </w:r>
          </w:p>
        </w:tc>
        <w:tc>
          <w:tcPr>
            <w:tcW w:w="0" w:type="dxa"/>
            <w:vAlign w:val="bottom"/>
          </w:tcPr>
          <w:p>
            <w:pPr>
              <w:spacing w:after="0"/>
              <w:rPr>
                <w:sz w:val="1"/>
                <w:szCs w:val="1"/>
                <w:color w:val="auto"/>
              </w:rPr>
            </w:pP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Notes receivable and residual certificates (at fair value)</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3,459</w:t>
            </w: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129,392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131,702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Servicing fees and other receivables represent amounts recognized as revenue but not yet collected in relation to servicing and other agreements with institutional investors and bank partners.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Property, Equipment, and Software,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color w:val="auto"/>
              </w:rPr>
              <w:t>Property, equipment, and software, net consisted of the following:</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1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33,124</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12,145</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and networking equipment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6,049</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Furniture and fixtures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4,246</w:t>
            </w:r>
          </w:p>
        </w:tc>
      </w:tr>
      <w:tr>
        <w:trPr>
          <w:trHeight w:val="213"/>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55,564</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(14,574)</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For the three and nine months ended September 30, 2021, depreciation and amortization expense on property, equipment, and software was $1.0 million and $2.7 million, respectively, and $2.7 million and $6.7 million for the three and nine months ended September 30, 2022, respectively. Capitalized internally developed software balances, net of accumulated amortization, were $13.5 million and $24.6 million as of December 31, 2021 and September 30, 2022,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Accrued Expenses and Other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Accrued expenses and other liabilities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1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30,598</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Accrued payroll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37,293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19,168</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13,870</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Trailing fee liability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5,201</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 (at fair value)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4,810</w:t>
            </w:r>
          </w:p>
        </w:tc>
      </w:tr>
      <w:tr>
        <w:trPr>
          <w:trHeight w:val="213"/>
        </w:trPr>
        <w:tc>
          <w:tcPr>
            <w:tcW w:w="7800" w:type="dxa"/>
            <w:vAlign w:val="bottom"/>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73,647</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Borrowings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principal outstanding of all loans mentioned in this note that are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1154"/>
              <w:spacing w:after="0"/>
              <w:rPr>
                <w:sz w:val="20"/>
                <w:szCs w:val="20"/>
                <w:color w:val="auto"/>
              </w:rPr>
            </w:pPr>
            <w:r>
              <w:rPr>
                <w:rFonts w:ascii="Arial" w:cs="Arial" w:eastAsia="Arial" w:hAnsi="Arial"/>
                <w:sz w:val="17"/>
                <w:szCs w:val="17"/>
                <w:b w:val="1"/>
                <w:bCs w:val="1"/>
                <w:color w:val="auto"/>
              </w:rPr>
              <w:t>Borrowings</w:t>
            </w:r>
          </w:p>
        </w:tc>
      </w:tr>
      <w:tr>
        <w:trPr>
          <w:trHeight w:val="207"/>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269,728</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Risk retention funding loan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661,250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661,250</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Total payments due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709,787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930,978</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(12,061)</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Total borrowings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695,432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918,917</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Warehouse Credit Facilities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Loan Trust Credit Facility</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the ULT Warehouse Credit Facility provides an aggregate of $175.0 million financing capacity of which $100.0 million is committed and $75.0 million is uncommitted. ULT may borrow up to this capacity until the earlier of June 15, 2023 or the occurrence of an accelerated amortization event. Accelerated amortization events include, but is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1.90% to 3.28% per annum, due and payable monthly in arrears. The Company is also subject to a monthly unused fee ranging from 0.20% to 1.00% per annum on the undrawn balance. The maximum advance rate under the ULT Warehouse Credit Facility on outstanding principal of loans held by ULT was 85% as of December 31, 2021 and 72.5% as of September 30, 2022.</w:t>
      </w:r>
    </w:p>
    <w:p>
      <w:pPr>
        <w:spacing w:after="0" w:line="20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ULT Warehouse Credit Facility contains certain financial covenants. As of December 31, 2021 and September 30, 2022,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ULT Warehouse Credit Facility</w:t>
            </w:r>
          </w:p>
        </w:tc>
      </w:tr>
      <w:tr>
        <w:trPr>
          <w:trHeight w:val="168"/>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294"/>
              <w:spacing w:after="0" w:line="167" w:lineRule="exact"/>
              <w:rPr>
                <w:sz w:val="20"/>
                <w:szCs w:val="20"/>
                <w:color w:val="auto"/>
              </w:rPr>
            </w:pPr>
            <w:r>
              <w:rPr>
                <w:rFonts w:ascii="Arial" w:cs="Arial" w:eastAsia="Arial" w:hAnsi="Arial"/>
                <w:sz w:val="17"/>
                <w:szCs w:val="17"/>
                <w:b w:val="1"/>
                <w:bCs w:val="1"/>
                <w:color w:val="auto"/>
                <w:w w:val="99"/>
              </w:rPr>
              <w:t>September 30,</w:t>
            </w:r>
          </w:p>
        </w:tc>
      </w:tr>
      <w:tr>
        <w:trPr>
          <w:trHeight w:val="231"/>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 2021</w:t>
            </w:r>
          </w:p>
        </w:tc>
        <w:tc>
          <w:tcPr>
            <w:tcW w:w="240" w:type="dxa"/>
            <w:vAlign w:val="bottom"/>
          </w:tcPr>
          <w:p>
            <w:pPr>
              <w:spacing w:after="0"/>
              <w:rPr>
                <w:sz w:val="20"/>
                <w:szCs w:val="20"/>
                <w:color w:val="auto"/>
              </w:rPr>
            </w:pPr>
          </w:p>
        </w:tc>
        <w:tc>
          <w:tcPr>
            <w:tcW w:w="156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r>
      <w:tr>
        <w:trPr>
          <w:trHeight w:val="22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100,523</w:t>
            </w:r>
          </w:p>
        </w:tc>
      </w:tr>
      <w:tr>
        <w:trPr>
          <w:trHeight w:val="238"/>
        </w:trPr>
        <w:tc>
          <w:tcPr>
            <w:tcW w:w="754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76,865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147,221</w:t>
            </w:r>
          </w:p>
        </w:tc>
      </w:tr>
      <w:tr>
        <w:trPr>
          <w:trHeight w:val="25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ULT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153,799</w:t>
            </w:r>
          </w:p>
        </w:tc>
      </w:tr>
      <w:tr>
        <w:trPr>
          <w:trHeight w:val="230"/>
        </w:trPr>
        <w:tc>
          <w:tcPr>
            <w:tcW w:w="754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76,256</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2,480</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Auto Warehouse Trust Credit Facility</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December 2021, the Company’s consolidated VIE, Upstart Auto Warehouse Trust (“UAWT”), entered into a revolving credit and security agreement with a third-party lender (the “UAWT Warehouse Credit Facility”). The credit and security agreement for the UAWT Warehouse Credit Facility was amended and restated in its entirety in August 2022. Under the revolving credit and security agreement, UAWT may borrow up to $200.0 million until the earlier of December 2022 or the occurrence of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pay fees and expenses related to the credit facility. The UAWT Warehouse Credit Facility matures in December 2023. The entire amount of the outstanding principal and accrued interest and fees may be prepaid at any time without penalty. Borrowings under the UAWT Warehouse Credit Facility bears interest per annum at a rate equivalent to the weighted-average cost of commercial paper notes issued by the lender (the “UAWT Benchmark Rate”), plus a spread ranging from 2.2% to 3.5%. In the event the UAWT Benchmark Rate cannot be adequately ascertained or available, the UAWT Benchmark Rate will be replaced with an alternative rate such as SOFR. In addition, the UAWT Warehouse Credit Facility is also subject to a monthly unused fee of 0.50% per annum on the undrawn balance. The maximum advance rate under the UAWT Auto Warehouse Trust Credit Facility on outstanding principal of loans held by UAWT was 82.5% as of December 31, 2021 and September 30, 2022.</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UAWT Warehouse Credit Facility contains certain financial covenants. As of December 31, 2021 and September 30, 2022,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following table includes the aggregate balances held by UAWT that were pledged as collateral for the UAWT Warehouse Credit Facility and included in loans at fair value and restricted cash in the condensed consolidated balance sheets as of September 30, 2022. The Company had no outstanding borrowings or loans owned by UAWT that were pledged as collateral under the UAWT Warehouse Credit Facility as of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w w:val="94"/>
              </w:rPr>
              <w:t>UAWT Warehouse Credit Facility</w:t>
            </w:r>
          </w:p>
        </w:tc>
      </w:tr>
      <w:tr>
        <w:trPr>
          <w:trHeight w:val="168"/>
        </w:trPr>
        <w:tc>
          <w:tcPr>
            <w:tcW w:w="7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20" w:type="dxa"/>
            <w:vAlign w:val="bottom"/>
          </w:tcPr>
          <w:p>
            <w:pPr>
              <w:jc w:val="center"/>
              <w:ind w:right="254"/>
              <w:spacing w:after="0" w:line="167" w:lineRule="exact"/>
              <w:rPr>
                <w:sz w:val="20"/>
                <w:szCs w:val="20"/>
                <w:color w:val="auto"/>
              </w:rPr>
            </w:pPr>
            <w:r>
              <w:rPr>
                <w:rFonts w:ascii="Arial" w:cs="Arial" w:eastAsia="Arial" w:hAnsi="Arial"/>
                <w:sz w:val="17"/>
                <w:szCs w:val="17"/>
                <w:b w:val="1"/>
                <w:bCs w:val="1"/>
                <w:color w:val="auto"/>
                <w:w w:val="91"/>
              </w:rPr>
              <w:t>September 30,</w:t>
            </w:r>
          </w:p>
        </w:tc>
      </w:tr>
      <w:tr>
        <w:trPr>
          <w:trHeight w:val="228"/>
        </w:trPr>
        <w:tc>
          <w:tcPr>
            <w:tcW w:w="7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w w:val="89"/>
              </w:rPr>
              <w:t>2022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169,205</w:t>
            </w:r>
          </w:p>
        </w:tc>
      </w:tr>
      <w:tr>
        <w:trPr>
          <w:trHeight w:val="238"/>
        </w:trPr>
        <w:tc>
          <w:tcPr>
            <w:tcW w:w="758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340" w:type="dxa"/>
            <w:vAlign w:val="bottom"/>
          </w:tcPr>
          <w:p>
            <w:pPr>
              <w:spacing w:after="0"/>
              <w:rPr>
                <w:sz w:val="20"/>
                <w:szCs w:val="20"/>
                <w:color w:val="auto"/>
              </w:rPr>
            </w:pPr>
          </w:p>
        </w:tc>
        <w:tc>
          <w:tcPr>
            <w:tcW w:w="3320" w:type="dxa"/>
            <w:vAlign w:val="bottom"/>
          </w:tcPr>
          <w:p>
            <w:pPr>
              <w:jc w:val="right"/>
              <w:spacing w:after="0"/>
              <w:rPr>
                <w:sz w:val="20"/>
                <w:szCs w:val="20"/>
                <w:color w:val="auto"/>
              </w:rPr>
            </w:pPr>
            <w:r>
              <w:rPr>
                <w:rFonts w:ascii="Arial" w:cs="Arial" w:eastAsia="Arial" w:hAnsi="Arial"/>
                <w:sz w:val="17"/>
                <w:szCs w:val="17"/>
                <w:color w:val="auto"/>
              </w:rPr>
              <w:t>250,294</w:t>
            </w:r>
          </w:p>
        </w:tc>
      </w:tr>
      <w:tr>
        <w:trPr>
          <w:trHeight w:val="25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UAWT</w:t>
            </w:r>
          </w:p>
        </w:tc>
        <w:tc>
          <w:tcPr>
            <w:tcW w:w="340" w:type="dxa"/>
            <w:vAlign w:val="bottom"/>
            <w:shd w:val="clear" w:color="auto" w:fill="CCEEFF"/>
          </w:tcPr>
          <w:p>
            <w:pPr>
              <w:spacing w:after="0"/>
              <w:rPr>
                <w:sz w:val="21"/>
                <w:szCs w:val="21"/>
                <w:color w:val="auto"/>
              </w:rPr>
            </w:pPr>
          </w:p>
        </w:tc>
        <w:tc>
          <w:tcPr>
            <w:tcW w:w="3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254,277</w:t>
            </w:r>
          </w:p>
        </w:tc>
      </w:tr>
      <w:tr>
        <w:trPr>
          <w:trHeight w:val="230"/>
        </w:trPr>
        <w:tc>
          <w:tcPr>
            <w:tcW w:w="758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3320" w:type="dxa"/>
            <w:vAlign w:val="bottom"/>
          </w:tcPr>
          <w:p>
            <w:pPr>
              <w:jc w:val="right"/>
              <w:spacing w:after="0"/>
              <w:rPr>
                <w:sz w:val="20"/>
                <w:szCs w:val="20"/>
                <w:color w:val="auto"/>
              </w:rPr>
            </w:pPr>
            <w:r>
              <w:rPr>
                <w:rFonts w:ascii="Arial" w:cs="Arial" w:eastAsia="Arial" w:hAnsi="Arial"/>
                <w:sz w:val="17"/>
                <w:szCs w:val="17"/>
                <w:color w:val="auto"/>
              </w:rPr>
              <w:t>874</w:t>
            </w: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 The estimated fair value of the Notes as of December 31, 2021 and September 30, 2022 was approximately $627.5 million and $374.3 million, respectively, which represent Level 2 valuations in the fair value hierarchy. The estimated fair value was determined based on the estimated or actual bids and offers of the Notes in an over-the-counter market. The carrying value of the Notes of December 31, 2021 and September 30, 2022 was $646.9 million and $649.2 million, respectively.</w:t>
      </w:r>
    </w:p>
    <w:p>
      <w:pPr>
        <w:spacing w:after="0" w:line="195"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Indenture, holders of the Notes may require the Company to repurchase for cash all or a portion of their respective notes at a purchase price equal to 100% of the principal amount of the Note plus accrued and unpaid interest.</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Holders may convert their Notes at their option any time prior to the close of business on the business day immediately preceding May 15, 2026 only under the following circumstances:</w:t>
      </w:r>
    </w:p>
    <w:p>
      <w:pPr>
        <w:spacing w:after="0" w:line="190" w:lineRule="exact"/>
        <w:rPr>
          <w:sz w:val="20"/>
          <w:szCs w:val="20"/>
          <w:color w:val="auto"/>
        </w:rPr>
      </w:pPr>
    </w:p>
    <w:p>
      <w:pPr>
        <w:jc w:val="both"/>
        <w:ind w:firstLine="622"/>
        <w:spacing w:after="0" w:line="290" w:lineRule="auto"/>
        <w:tabs>
          <w:tab w:leader="none" w:pos="8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Arial" w:cs="Arial" w:eastAsia="Arial" w:hAnsi="Arial"/>
          <w:sz w:val="16"/>
          <w:szCs w:val="16"/>
          <w:color w:val="auto"/>
        </w:rPr>
      </w:pPr>
    </w:p>
    <w:p>
      <w:pPr>
        <w:jc w:val="both"/>
        <w:ind w:firstLine="622"/>
        <w:spacing w:after="0" w:line="266" w:lineRule="auto"/>
        <w:tabs>
          <w:tab w:leader="none" w:pos="8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0" w:lineRule="exact"/>
        <w:rPr>
          <w:rFonts w:ascii="Arial" w:cs="Arial" w:eastAsia="Arial" w:hAnsi="Arial"/>
          <w:sz w:val="17"/>
          <w:szCs w:val="17"/>
          <w:color w:val="auto"/>
        </w:rPr>
      </w:pPr>
    </w:p>
    <w:p>
      <w:pPr>
        <w:ind w:firstLine="622"/>
        <w:spacing w:after="0" w:line="279" w:lineRule="auto"/>
        <w:tabs>
          <w:tab w:leader="none" w:pos="8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call any or all of the Notes for redemption, at any time prior to the close of business on the second scheduled trading day immediately preceding the redemption date; or</w:t>
      </w:r>
    </w:p>
    <w:p>
      <w:pPr>
        <w:spacing w:after="0" w:line="190" w:lineRule="exact"/>
        <w:rPr>
          <w:rFonts w:ascii="Arial" w:cs="Arial" w:eastAsia="Arial" w:hAnsi="Arial"/>
          <w:sz w:val="17"/>
          <w:szCs w:val="17"/>
          <w:color w:val="auto"/>
        </w:rPr>
      </w:pPr>
    </w:p>
    <w:p>
      <w:pPr>
        <w:ind w:left="860" w:hanging="238"/>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upon the occurrence of specified corporate events.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three and nine months ended September 30, 2022, the Company recorded immaterial coupon interest expense and amortization of debt issuance costs within other expense on the condensed consolidated statements of operations and comprehensive income (loss). The effective interest rate of the Notes is 0.7%.</w:t>
      </w:r>
    </w:p>
    <w:p>
      <w:pPr>
        <w:spacing w:after="0" w:line="3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Capped Call Transactions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aggregate amount of maturities of all borrowings as of September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8"/>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7"/>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Remaining 2022</w:t>
            </w:r>
          </w:p>
        </w:tc>
        <w:tc>
          <w:tcPr>
            <w:tcW w:w="8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2023</w:t>
            </w:r>
          </w:p>
        </w:tc>
        <w:tc>
          <w:tcPr>
            <w:tcW w:w="8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169,205</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100,523</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2025</w:t>
            </w:r>
          </w:p>
        </w:tc>
        <w:tc>
          <w:tcPr>
            <w:tcW w:w="8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661,250</w:t>
            </w: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w:t>
            </w:r>
          </w:p>
        </w:tc>
        <w:tc>
          <w:tcPr>
            <w:tcW w:w="8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3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930,978</w:t>
            </w:r>
          </w:p>
        </w:tc>
      </w:tr>
      <w:tr>
        <w:trPr>
          <w:trHeight w:val="20"/>
        </w:trPr>
        <w:tc>
          <w:tcPr>
            <w:tcW w:w="12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05"/>
        </w:trPr>
        <w:tc>
          <w:tcPr>
            <w:tcW w:w="1220" w:type="dxa"/>
            <w:vAlign w:val="bottom"/>
          </w:tcPr>
          <w:p>
            <w:pPr>
              <w:ind w:left="980"/>
              <w:spacing w:after="0"/>
              <w:rPr>
                <w:sz w:val="20"/>
                <w:szCs w:val="20"/>
                <w:color w:val="auto"/>
              </w:rPr>
            </w:pPr>
            <w:r>
              <w:rPr>
                <w:rFonts w:ascii="Arial" w:cs="Arial" w:eastAsia="Arial" w:hAnsi="Arial"/>
                <w:sz w:val="17"/>
                <w:szCs w:val="17"/>
                <w:b w:val="1"/>
                <w:bCs w:val="1"/>
                <w:color w:val="auto"/>
              </w:rPr>
              <w:t>9.</w:t>
            </w:r>
          </w:p>
        </w:tc>
        <w:tc>
          <w:tcPr>
            <w:tcW w:w="8580" w:type="dxa"/>
            <w:vAlign w:val="bottom"/>
            <w:gridSpan w:val="2"/>
          </w:tcPr>
          <w:p>
            <w:pPr>
              <w:jc w:val="right"/>
              <w:ind w:right="6894"/>
              <w:spacing w:after="0"/>
              <w:rPr>
                <w:sz w:val="20"/>
                <w:szCs w:val="20"/>
                <w:color w:val="auto"/>
              </w:rPr>
            </w:pPr>
            <w:r>
              <w:rPr>
                <w:rFonts w:ascii="Arial" w:cs="Arial" w:eastAsia="Arial" w:hAnsi="Arial"/>
                <w:sz w:val="17"/>
                <w:szCs w:val="17"/>
                <w:b w:val="1"/>
                <w:bCs w:val="1"/>
                <w:color w:val="auto"/>
                <w:w w:val="93"/>
              </w:rPr>
              <w:t>Stockholders' Equity</w:t>
            </w:r>
          </w:p>
        </w:tc>
        <w:tc>
          <w:tcPr>
            <w:tcW w:w="1440" w:type="dxa"/>
            <w:vAlign w:val="bottom"/>
          </w:tcPr>
          <w:p>
            <w:pPr>
              <w:spacing w:after="0"/>
              <w:rPr>
                <w:sz w:val="24"/>
                <w:szCs w:val="24"/>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amended and restated certificate of incorporation authorizes the issuance of 700,000,000 shares of common stock with a par value of $0.0001 per share. Shares of common stock reserved for issuance, on an as-converted basis,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w:t>
            </w:r>
          </w:p>
        </w:tc>
        <w:tc>
          <w:tcPr>
            <w:tcW w:w="1640" w:type="dxa"/>
            <w:vAlign w:val="bottom"/>
          </w:tcPr>
          <w:p>
            <w:pPr>
              <w:jc w:val="right"/>
              <w:ind w:right="194"/>
              <w:spacing w:after="0"/>
              <w:rPr>
                <w:sz w:val="20"/>
                <w:szCs w:val="20"/>
                <w:color w:val="auto"/>
              </w:rPr>
            </w:pPr>
            <w:r>
              <w:rPr>
                <w:rFonts w:ascii="Arial" w:cs="Arial" w:eastAsia="Arial" w:hAnsi="Arial"/>
                <w:sz w:val="17"/>
                <w:szCs w:val="17"/>
                <w:b w:val="1"/>
                <w:bCs w:val="1"/>
                <w:color w:val="auto"/>
              </w:rPr>
              <w:t>September 30,</w:t>
            </w:r>
          </w:p>
        </w:tc>
      </w:tr>
      <w:tr>
        <w:trPr>
          <w:trHeight w:val="224"/>
        </w:trPr>
        <w:tc>
          <w:tcPr>
            <w:tcW w:w="78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12,785,176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11,723,427</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RSUs outstanding</w:t>
            </w:r>
          </w:p>
        </w:tc>
        <w:tc>
          <w:tcPr>
            <w:tcW w:w="1640" w:type="dxa"/>
            <w:vAlign w:val="bottom"/>
          </w:tcPr>
          <w:p>
            <w:pPr>
              <w:jc w:val="right"/>
              <w:spacing w:after="0"/>
              <w:rPr>
                <w:sz w:val="20"/>
                <w:szCs w:val="20"/>
                <w:color w:val="auto"/>
              </w:rPr>
            </w:pPr>
            <w:r>
              <w:rPr>
                <w:rFonts w:ascii="Arial" w:cs="Arial" w:eastAsia="Arial" w:hAnsi="Arial"/>
                <w:sz w:val="17"/>
                <w:szCs w:val="17"/>
                <w:color w:val="auto"/>
              </w:rPr>
              <w:t>1,508,615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4,679,719</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PRSUs outstanding</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Arial" w:cs="Arial" w:eastAsia="Arial" w:hAnsi="Arial"/>
                <w:sz w:val="17"/>
                <w:szCs w:val="17"/>
                <w:color w:val="auto"/>
              </w:rPr>
              <w:t>9,979,700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8,920,902</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1,869,302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2,543,089</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26,142,793</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28,554,637</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qualify under Rule 10b5-1. The repurchase program does not obligate the Company to acquire any particular amount of its common stock, and may be suspended or terminated by the Company at any time at its discretion without prior notice.</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nine months ended September 30, 2022, the Company repurchased, and subsequently retired, 4.4 million shares for $150.1 million at an average cost of $33.84 per share. As of September 30, 2022, $249.9 million remains available for future purchases of our common stock under the share repurchase program.</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2020 Equity Incentive Plan authorizes grants of ISOs, NSOs, stock appreciation rights, restricted stock, RSUs, and performance awards to eligible participants.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 option activity for the nine months ended September 30,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Weighted-Average</w:t>
            </w:r>
          </w:p>
        </w:tc>
        <w:tc>
          <w:tcPr>
            <w:tcW w:w="240" w:type="dxa"/>
            <w:vAlign w:val="bottom"/>
          </w:tcPr>
          <w:p>
            <w:pPr>
              <w:spacing w:after="0"/>
              <w:rPr>
                <w:sz w:val="16"/>
                <w:szCs w:val="16"/>
                <w:color w:val="auto"/>
              </w:rPr>
            </w:pPr>
          </w:p>
        </w:tc>
        <w:tc>
          <w:tcPr>
            <w:tcW w:w="1260" w:type="dxa"/>
            <w:vAlign w:val="bottom"/>
            <w:vMerge w:val="restart"/>
          </w:tcPr>
          <w:p>
            <w:pPr>
              <w:jc w:val="center"/>
              <w:ind w:right="174"/>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580" w:type="dxa"/>
            <w:vAlign w:val="bottom"/>
            <w:gridSpan w:val="2"/>
          </w:tcPr>
          <w:p>
            <w:pPr>
              <w:jc w:val="center"/>
              <w:ind w:right="60"/>
              <w:spacing w:after="0" w:line="167" w:lineRule="exact"/>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line="167" w:lineRule="exact"/>
              <w:rPr>
                <w:sz w:val="20"/>
                <w:szCs w:val="20"/>
                <w:color w:val="auto"/>
              </w:rPr>
            </w:pPr>
            <w:r>
              <w:rPr>
                <w:rFonts w:ascii="Arial" w:cs="Arial" w:eastAsia="Arial" w:hAnsi="Arial"/>
                <w:sz w:val="17"/>
                <w:szCs w:val="17"/>
                <w:b w:val="1"/>
                <w:bCs w:val="1"/>
                <w:color w:val="auto"/>
                <w:w w:val="90"/>
              </w:rPr>
              <w:t>Exercise Price Per</w:t>
            </w:r>
          </w:p>
        </w:tc>
        <w:tc>
          <w:tcPr>
            <w:tcW w:w="1580" w:type="dxa"/>
            <w:vAlign w:val="bottom"/>
            <w:gridSpan w:val="2"/>
          </w:tcPr>
          <w:p>
            <w:pPr>
              <w:jc w:val="center"/>
              <w:ind w:right="80"/>
              <w:spacing w:after="0" w:line="167" w:lineRule="exact"/>
              <w:rPr>
                <w:sz w:val="20"/>
                <w:szCs w:val="20"/>
                <w:color w:val="auto"/>
              </w:rPr>
            </w:pPr>
            <w:r>
              <w:rPr>
                <w:rFonts w:ascii="Arial" w:cs="Arial" w:eastAsia="Arial" w:hAnsi="Arial"/>
                <w:sz w:val="17"/>
                <w:szCs w:val="17"/>
                <w:b w:val="1"/>
                <w:bCs w:val="1"/>
                <w:color w:val="auto"/>
                <w:w w:val="94"/>
              </w:rPr>
              <w:t>Contractual Life</w:t>
            </w:r>
          </w:p>
        </w:tc>
        <w:tc>
          <w:tcPr>
            <w:tcW w:w="240" w:type="dxa"/>
            <w:vAlign w:val="bottom"/>
          </w:tcPr>
          <w:p>
            <w:pPr>
              <w:spacing w:after="0"/>
              <w:rPr>
                <w:sz w:val="14"/>
                <w:szCs w:val="14"/>
                <w:color w:val="auto"/>
              </w:rPr>
            </w:pPr>
          </w:p>
        </w:tc>
        <w:tc>
          <w:tcPr>
            <w:tcW w:w="1260" w:type="dxa"/>
            <w:vAlign w:val="bottom"/>
          </w:tcPr>
          <w:p>
            <w:pPr>
              <w:jc w:val="center"/>
              <w:ind w:right="174"/>
              <w:spacing w:after="0" w:line="167" w:lineRule="exact"/>
              <w:rPr>
                <w:sz w:val="20"/>
                <w:szCs w:val="20"/>
                <w:color w:val="auto"/>
              </w:rPr>
            </w:pPr>
            <w:r>
              <w:rPr>
                <w:rFonts w:ascii="Arial" w:cs="Arial" w:eastAsia="Arial" w:hAnsi="Arial"/>
                <w:sz w:val="17"/>
                <w:szCs w:val="17"/>
                <w:b w:val="1"/>
                <w:bCs w:val="1"/>
                <w:color w:val="auto"/>
                <w:w w:val="96"/>
              </w:rPr>
              <w:t>Intrinsic</w:t>
            </w: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Number of Options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88"/>
              </w:rPr>
              <w:t>Share</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(years)</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12,785,176</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1,803,812</w:t>
            </w:r>
          </w:p>
        </w:tc>
        <w:tc>
          <w:tcPr>
            <w:tcW w:w="0" w:type="dxa"/>
            <w:vAlign w:val="bottom"/>
          </w:tcPr>
          <w:p>
            <w:pPr>
              <w:spacing w:after="0"/>
              <w:rPr>
                <w:sz w:val="1"/>
                <w:szCs w:val="1"/>
                <w:color w:val="auto"/>
              </w:rPr>
            </w:pPr>
          </w:p>
        </w:tc>
      </w:tr>
      <w:tr>
        <w:trPr>
          <w:trHeight w:val="211"/>
        </w:trPr>
        <w:tc>
          <w:tcPr>
            <w:tcW w:w="500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1,253,496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46.63</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(240,482)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25.79</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11,723,427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151,680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Options exercisable – September 30,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4.96</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5.3</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124,319</w:t>
            </w:r>
          </w:p>
        </w:tc>
        <w:tc>
          <w:tcPr>
            <w:tcW w:w="0" w:type="dxa"/>
            <w:vAlign w:val="bottom"/>
          </w:tcPr>
          <w:p>
            <w:pPr>
              <w:spacing w:after="0" w:line="20" w:lineRule="exact"/>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1480" w:type="dxa"/>
            <w:vAlign w:val="bottom"/>
          </w:tcPr>
          <w:p>
            <w:pPr>
              <w:jc w:val="right"/>
              <w:spacing w:after="0" w:line="190" w:lineRule="exact"/>
              <w:rPr>
                <w:sz w:val="20"/>
                <w:szCs w:val="20"/>
                <w:color w:val="auto"/>
              </w:rPr>
            </w:pPr>
            <w:r>
              <w:rPr>
                <w:rFonts w:ascii="Arial" w:cs="Arial" w:eastAsia="Arial" w:hAnsi="Arial"/>
                <w:sz w:val="17"/>
                <w:szCs w:val="17"/>
                <w:color w:val="auto"/>
              </w:rPr>
              <w:t>7,590,584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vested and expected to vest – September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11,663,853</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151,478</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awards and the fair value of the Company’s stock as of September 30, 2022. The aggregate intrinsic value of options exercised for the nine months ended September 30, 2021 and 2022, was $873.9 million and $151.7 million, respectively. The weighted-average grant date fair value of options granted during the nine months ended September 30, 2021 and 2022, was $61.97, and $23.29 per share, respectively. The weighted-average fair value of options assumed in connection with an acquisition was $74.84 per share for the nine months ended September 30, 2021. The total fair value of options vested for the nine months ended September 30, 2021 and 2022, was $16.7 million, and $17.3 million, respectively.</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September 30, 2022, total unrecognized stock-based compensation expense related to unvested stock options was $58.9 million, which is expected to be recognized over a remaining weighted-average period of 1.9 years.</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incremental stock-based compensation expense of $4.4 million resulting from the modification was recognized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grants RSUs to employees and nonemployees. RSUs vest upon satisfaction of a service-based condition, which is generally satisfied over one to four years. The following table summarizes RSU activity for the nine months ended September 30,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r>
      <w:tr>
        <w:trPr>
          <w:trHeight w:val="224"/>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1,508,615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140.10</w:t>
            </w:r>
          </w:p>
        </w:tc>
      </w:tr>
      <w:tr>
        <w:trPr>
          <w:trHeight w:val="211"/>
        </w:trPr>
        <w:tc>
          <w:tcPr>
            <w:tcW w:w="6700" w:type="dxa"/>
            <w:vAlign w:val="bottom"/>
          </w:tcPr>
          <w:p>
            <w:pPr>
              <w:ind w:left="120"/>
              <w:spacing w:after="0"/>
              <w:rPr>
                <w:sz w:val="20"/>
                <w:szCs w:val="20"/>
                <w:color w:val="auto"/>
              </w:rPr>
            </w:pPr>
            <w:r>
              <w:rPr>
                <w:rFonts w:ascii="Arial" w:cs="Arial" w:eastAsia="Arial" w:hAnsi="Arial"/>
                <w:sz w:val="17"/>
                <w:szCs w:val="17"/>
                <w:color w:val="auto"/>
              </w:rPr>
              <w:t>RSUs granted</w:t>
            </w:r>
          </w:p>
        </w:tc>
        <w:tc>
          <w:tcPr>
            <w:tcW w:w="2220" w:type="dxa"/>
            <w:vAlign w:val="bottom"/>
          </w:tcPr>
          <w:p>
            <w:pPr>
              <w:jc w:val="right"/>
              <w:spacing w:after="0"/>
              <w:rPr>
                <w:sz w:val="20"/>
                <w:szCs w:val="20"/>
                <w:color w:val="auto"/>
              </w:rPr>
            </w:pPr>
            <w:r>
              <w:rPr>
                <w:rFonts w:ascii="Arial" w:cs="Arial" w:eastAsia="Arial" w:hAnsi="Arial"/>
                <w:sz w:val="17"/>
                <w:szCs w:val="17"/>
                <w:color w:val="auto"/>
              </w:rPr>
              <w:t>3,778,851</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47.64</w:t>
            </w: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RSUs vested</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(368,604)</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130.64</w:t>
            </w: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RSUs cancelled and forfeited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(239,143)</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114.46</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September 30,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4,679,719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September 30, 2022, total unrecognized stock-based compensation expense related to outstanding unvested RSUs was $271.9 million, which is expected to be recognized over a remaining weighted-average period of 2.5 years.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connection with the Prodigy acquisition in April 2021, 82,201 shares of the Company’s restricted stock were issued to certain Prodigy employees. The restricted stock is subject to restrictions which lapse on a quarterly basis over two years. Refer to “</w:t>
      </w:r>
      <w:r>
        <w:rPr>
          <w:rFonts w:ascii="Arial" w:cs="Arial" w:eastAsia="Arial" w:hAnsi="Arial"/>
          <w:sz w:val="16"/>
          <w:szCs w:val="16"/>
          <w:i w:val="1"/>
          <w:iCs w:val="1"/>
          <w:color w:val="auto"/>
        </w:rPr>
        <w:t>Note 5. Acquisitions</w:t>
      </w:r>
      <w:r>
        <w:rPr>
          <w:rFonts w:ascii="Arial" w:cs="Arial" w:eastAsia="Arial" w:hAnsi="Arial"/>
          <w:sz w:val="16"/>
          <w:szCs w:val="16"/>
          <w:color w:val="auto"/>
        </w:rPr>
        <w:t>” for further information.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summarized Restricted Stock activity for the nine months ended September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r>
      <w:tr>
        <w:trPr>
          <w:trHeight w:val="224"/>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61,651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121.65</w:t>
            </w:r>
          </w:p>
        </w:tc>
      </w:tr>
      <w:tr>
        <w:trPr>
          <w:trHeight w:val="211"/>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Vested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30,825</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121.65</w:t>
            </w: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September 30,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September 30, 2022, total unrecognized stock-based compensation expense related to restricted stock was $2.6 million, which is expected to be recognized over a remaining weighted-average period of 0.6 years.</w:t>
      </w:r>
    </w:p>
    <w:p>
      <w:pPr>
        <w:spacing w:after="0" w:line="3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February 18, 2022, the Compensation Committee of the Board of Directors, after extensive consultation with its independent compensation consultants, approved the grant of a PRSU award to an executive for 687,500 shares that will generally vest at the end of a period of seven years based on the achievement of certain stock price targets for the Company’s common stock.</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Except as otherwise provided in the Performance Award Agreement, the PRSU award will vest only if the executive is employed on a full-time basis through January 1, 2029 (the “Final Measurement Date”) and only to the extent that the company stock price targets are met. The first time that performance will be measured is on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1, 2027 and achievement will be determined based on the average closing price of the Company’s stock on the 60 consecutive trading days ending immediately prior to that date. If any company stock price target is met at that time, up to 40% of the cumulative PRSUs possible for such company stock price target will become eligible to vest. One year later on January 1, 2028, the same procedure will be followed and if any higher company stock price target is met, up to 80% of the cumulative PRSUs possible for such company stock price target, less any PRSUs that previously vested, will vest. On the Final Measurement Date, the same procedure will be followed and the cumulative PRSUs possible for the highest company stock price target met at such time, less any PRSUs that previously became eligible to vest, will become eligible to vest. All PRSUs which did not meet the Company stock price targets on the Final Measurement Date will be forfeited.</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ability to become eligible to vest only in up to 40% of the cumulative PRSUs possible after five years and only up to 80% of the cumulative PRSUs possible after six years was intentionally structured to ensure that sustained long-term stock price performance must be achieved. The 40% and 80% limitations do not apply in the case of a change in control prior to the Final Measurement Date.</w:t>
      </w:r>
    </w:p>
    <w:p>
      <w:pPr>
        <w:spacing w:after="0" w:line="20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Compensation expense associated with the PRSUs is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As of September 30, 2022, total unrecognized stock-based compensation expense related to outstanding unvested PRSUs was $41.9 million, which is expected to be recognized over a remaining weighted-average period of 4.9 years.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nine months ended September 30, 2022, 162,796 shares of common stock were purchased under the ESPP.</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September 30, 2022, total unrecognized stock-based compensation expense related to the ESPP was immaterial.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of Awards Granted</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the Company’s common stock is determined by the closing price, on the date of grant, of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which is traded on the Nasdaq Global Select Market.</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and ESPP purchase rights are expected to be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ind w:right="100" w:firstLine="619"/>
        <w:spacing w:after="0" w:line="312"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has not had an active trading market for its common stock for a sufficient period of time, the expected volatility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publicly-traded companies, over a period equal to the expected term of the stock option grants.</w:t>
      </w:r>
    </w:p>
    <w:p>
      <w:pPr>
        <w:spacing w:after="0" w:line="166"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assumption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90"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–The Company has never paid dividends on its common stock and does not anticipate paying dividends on common stock for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Therefore, the Company uses an expected dividend yield of zero.</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options granted: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00" w:type="dxa"/>
            <w:vAlign w:val="bottom"/>
          </w:tcPr>
          <w:p>
            <w:pPr>
              <w:spacing w:after="0"/>
              <w:rPr>
                <w:sz w:val="19"/>
                <w:szCs w:val="19"/>
                <w:color w:val="auto"/>
              </w:rPr>
            </w:pPr>
          </w:p>
        </w:tc>
        <w:tc>
          <w:tcPr>
            <w:tcW w:w="4020" w:type="dxa"/>
            <w:vAlign w:val="bottom"/>
            <w:gridSpan w:val="6"/>
          </w:tcPr>
          <w:p>
            <w:pPr>
              <w:ind w:left="620"/>
              <w:spacing w:after="0"/>
              <w:rPr>
                <w:sz w:val="20"/>
                <w:szCs w:val="20"/>
                <w:color w:val="auto"/>
              </w:rPr>
            </w:pPr>
            <w:r>
              <w:rPr>
                <w:rFonts w:ascii="Arial" w:cs="Arial" w:eastAsia="Arial" w:hAnsi="Arial"/>
                <w:sz w:val="17"/>
                <w:szCs w:val="17"/>
                <w:b w:val="1"/>
                <w:bCs w:val="1"/>
                <w:color w:val="auto"/>
              </w:rPr>
              <w:t>Three Months Ended September 30,</w:t>
            </w:r>
          </w:p>
        </w:tc>
        <w:tc>
          <w:tcPr>
            <w:tcW w:w="3920" w:type="dxa"/>
            <w:vAlign w:val="bottom"/>
            <w:gridSpan w:val="5"/>
          </w:tcPr>
          <w:p>
            <w:pPr>
              <w:ind w:left="680"/>
              <w:spacing w:after="0"/>
              <w:rPr>
                <w:sz w:val="20"/>
                <w:szCs w:val="20"/>
                <w:color w:val="auto"/>
              </w:rPr>
            </w:pPr>
            <w:r>
              <w:rPr>
                <w:rFonts w:ascii="Arial" w:cs="Arial" w:eastAsia="Arial" w:hAnsi="Arial"/>
                <w:sz w:val="17"/>
                <w:szCs w:val="17"/>
                <w:b w:val="1"/>
                <w:bCs w:val="1"/>
                <w:color w:val="auto"/>
              </w:rPr>
              <w:t>Nine Months Ended September 30,</w:t>
            </w:r>
          </w:p>
        </w:tc>
      </w:tr>
      <w:tr>
        <w:trPr>
          <w:trHeight w:val="213"/>
        </w:trPr>
        <w:tc>
          <w:tcPr>
            <w:tcW w:w="33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7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7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2022</w:t>
            </w: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6.7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6.1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6.9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7.0</w:t>
            </w: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880" w:type="dxa"/>
            <w:vAlign w:val="bottom"/>
          </w:tcPr>
          <w:p>
            <w:pPr>
              <w:jc w:val="right"/>
              <w:spacing w:after="0"/>
              <w:rPr>
                <w:sz w:val="20"/>
                <w:szCs w:val="20"/>
                <w:color w:val="auto"/>
              </w:rPr>
            </w:pPr>
            <w:r>
              <w:rPr>
                <w:rFonts w:ascii="Arial" w:cs="Arial" w:eastAsia="Arial" w:hAnsi="Arial"/>
                <w:sz w:val="17"/>
                <w:szCs w:val="17"/>
                <w:color w:val="auto"/>
              </w:rPr>
              <w:t>63.03%</w:t>
            </w:r>
          </w:p>
        </w:tc>
        <w:tc>
          <w:tcPr>
            <w:tcW w:w="1120" w:type="dxa"/>
            <w:vAlign w:val="bottom"/>
            <w:gridSpan w:val="2"/>
          </w:tcPr>
          <w:p>
            <w:pPr>
              <w:ind w:left="20"/>
              <w:spacing w:after="0"/>
              <w:rPr>
                <w:sz w:val="20"/>
                <w:szCs w:val="20"/>
                <w:color w:val="auto"/>
              </w:rPr>
            </w:pPr>
            <w:r>
              <w:rPr>
                <w:rFonts w:ascii="Arial" w:cs="Arial" w:eastAsia="Arial" w:hAnsi="Arial"/>
                <w:sz w:val="17"/>
                <w:szCs w:val="17"/>
                <w:color w:val="auto"/>
              </w:rPr>
              <w:t>– 63.53%</w:t>
            </w:r>
          </w:p>
        </w:tc>
        <w:tc>
          <w:tcPr>
            <w:tcW w:w="900" w:type="dxa"/>
            <w:vAlign w:val="bottom"/>
          </w:tcPr>
          <w:p>
            <w:pPr>
              <w:jc w:val="right"/>
              <w:spacing w:after="0"/>
              <w:rPr>
                <w:sz w:val="20"/>
                <w:szCs w:val="20"/>
                <w:color w:val="auto"/>
              </w:rPr>
            </w:pPr>
            <w:r>
              <w:rPr>
                <w:rFonts w:ascii="Arial" w:cs="Arial" w:eastAsia="Arial" w:hAnsi="Arial"/>
                <w:sz w:val="17"/>
                <w:szCs w:val="17"/>
                <w:color w:val="auto"/>
              </w:rPr>
              <w:t>49.66%</w:t>
            </w:r>
          </w:p>
        </w:tc>
        <w:tc>
          <w:tcPr>
            <w:tcW w:w="1120" w:type="dxa"/>
            <w:vAlign w:val="bottom"/>
            <w:gridSpan w:val="2"/>
          </w:tcPr>
          <w:p>
            <w:pPr>
              <w:ind w:left="20"/>
              <w:spacing w:after="0"/>
              <w:rPr>
                <w:sz w:val="20"/>
                <w:szCs w:val="20"/>
                <w:color w:val="auto"/>
              </w:rPr>
            </w:pPr>
            <w:r>
              <w:rPr>
                <w:rFonts w:ascii="Arial" w:cs="Arial" w:eastAsia="Arial" w:hAnsi="Arial"/>
                <w:sz w:val="17"/>
                <w:szCs w:val="17"/>
                <w:color w:val="auto"/>
              </w:rPr>
              <w:t>– 50.73%</w:t>
            </w:r>
          </w:p>
        </w:tc>
        <w:tc>
          <w:tcPr>
            <w:tcW w:w="880" w:type="dxa"/>
            <w:vAlign w:val="bottom"/>
          </w:tcPr>
          <w:p>
            <w:pPr>
              <w:jc w:val="right"/>
              <w:spacing w:after="0"/>
              <w:rPr>
                <w:sz w:val="20"/>
                <w:szCs w:val="20"/>
                <w:color w:val="auto"/>
              </w:rPr>
            </w:pPr>
            <w:r>
              <w:rPr>
                <w:rFonts w:ascii="Arial" w:cs="Arial" w:eastAsia="Arial" w:hAnsi="Arial"/>
                <w:sz w:val="17"/>
                <w:szCs w:val="17"/>
                <w:color w:val="auto"/>
              </w:rPr>
              <w:t>63.03%</w:t>
            </w:r>
          </w:p>
        </w:tc>
        <w:tc>
          <w:tcPr>
            <w:tcW w:w="1120" w:type="dxa"/>
            <w:vAlign w:val="bottom"/>
            <w:gridSpan w:val="2"/>
          </w:tcPr>
          <w:p>
            <w:pPr>
              <w:ind w:left="40"/>
              <w:spacing w:after="0"/>
              <w:rPr>
                <w:sz w:val="20"/>
                <w:szCs w:val="20"/>
                <w:color w:val="auto"/>
              </w:rPr>
            </w:pPr>
            <w:r>
              <w:rPr>
                <w:rFonts w:ascii="Arial" w:cs="Arial" w:eastAsia="Arial" w:hAnsi="Arial"/>
                <w:sz w:val="17"/>
                <w:szCs w:val="17"/>
                <w:color w:val="auto"/>
              </w:rPr>
              <w:t>– 65.01%</w:t>
            </w:r>
          </w:p>
        </w:tc>
        <w:tc>
          <w:tcPr>
            <w:tcW w:w="900" w:type="dxa"/>
            <w:vAlign w:val="bottom"/>
          </w:tcPr>
          <w:p>
            <w:pPr>
              <w:jc w:val="right"/>
              <w:spacing w:after="0"/>
              <w:rPr>
                <w:sz w:val="20"/>
                <w:szCs w:val="20"/>
                <w:color w:val="auto"/>
              </w:rPr>
            </w:pPr>
            <w:r>
              <w:rPr>
                <w:rFonts w:ascii="Arial" w:cs="Arial" w:eastAsia="Arial" w:hAnsi="Arial"/>
                <w:sz w:val="17"/>
                <w:szCs w:val="17"/>
                <w:color w:val="auto"/>
              </w:rPr>
              <w:t>47.58%</w:t>
            </w:r>
          </w:p>
        </w:tc>
        <w:tc>
          <w:tcPr>
            <w:tcW w:w="1020" w:type="dxa"/>
            <w:vAlign w:val="bottom"/>
          </w:tcPr>
          <w:p>
            <w:pPr>
              <w:ind w:left="20"/>
              <w:spacing w:after="0"/>
              <w:rPr>
                <w:sz w:val="20"/>
                <w:szCs w:val="20"/>
                <w:color w:val="auto"/>
              </w:rPr>
            </w:pPr>
            <w:r>
              <w:rPr>
                <w:rFonts w:ascii="Arial" w:cs="Arial" w:eastAsia="Arial" w:hAnsi="Arial"/>
                <w:sz w:val="17"/>
                <w:szCs w:val="17"/>
                <w:color w:val="auto"/>
              </w:rPr>
              <w:t>– 50.73%</w:t>
            </w: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0.93%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4.02%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1.14%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4.02%</w:t>
            </w: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0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w:t>
            </w:r>
          </w:p>
        </w:tc>
        <w:tc>
          <w:tcPr>
            <w:tcW w:w="2020" w:type="dxa"/>
            <w:vAlign w:val="bottom"/>
            <w:gridSpan w:val="3"/>
          </w:tcPr>
          <w:p>
            <w:pPr>
              <w:jc w:val="center"/>
              <w:ind w:right="100"/>
              <w:spacing w:after="0"/>
              <w:rPr>
                <w:sz w:val="20"/>
                <w:szCs w:val="20"/>
                <w:color w:val="auto"/>
              </w:rPr>
            </w:pPr>
            <w:r>
              <w:rPr>
                <w:rFonts w:ascii="Arial" w:cs="Arial" w:eastAsia="Arial" w:hAnsi="Arial"/>
                <w:sz w:val="17"/>
                <w:szCs w:val="17"/>
                <w:color w:val="auto"/>
                <w:w w:val="99"/>
              </w:rPr>
              <w:t>—%</w:t>
            </w:r>
          </w:p>
        </w:tc>
        <w:tc>
          <w:tcPr>
            <w:tcW w:w="2000" w:type="dxa"/>
            <w:vAlign w:val="bottom"/>
            <w:gridSpan w:val="3"/>
          </w:tcPr>
          <w:p>
            <w:pPr>
              <w:jc w:val="center"/>
              <w:ind w:right="80"/>
              <w:spacing w:after="0"/>
              <w:rPr>
                <w:sz w:val="20"/>
                <w:szCs w:val="20"/>
                <w:color w:val="auto"/>
              </w:rPr>
            </w:pPr>
            <w:r>
              <w:rPr>
                <w:rFonts w:ascii="Arial" w:cs="Arial" w:eastAsia="Arial" w:hAnsi="Arial"/>
                <w:sz w:val="17"/>
                <w:szCs w:val="17"/>
                <w:color w:val="auto"/>
                <w:w w:val="99"/>
              </w:rPr>
              <w:t>—%</w:t>
            </w: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the February 2022 PRSUs granted: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1454"/>
              <w:spacing w:after="0"/>
              <w:rPr>
                <w:sz w:val="20"/>
                <w:szCs w:val="20"/>
                <w:color w:val="auto"/>
              </w:rPr>
            </w:pPr>
            <w:r>
              <w:rPr>
                <w:rFonts w:ascii="Arial" w:cs="Arial" w:eastAsia="Arial" w:hAnsi="Arial"/>
                <w:sz w:val="17"/>
                <w:szCs w:val="17"/>
                <w:color w:val="auto"/>
                <w:w w:val="84"/>
              </w:rPr>
              <w:t>6.9</w:t>
            </w:r>
          </w:p>
        </w:tc>
        <w:tc>
          <w:tcPr>
            <w:tcW w:w="120" w:type="dxa"/>
            <w:vAlign w:val="bottom"/>
            <w:shd w:val="clear" w:color="auto" w:fill="CCEEFF"/>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center"/>
              <w:ind w:left="1334"/>
              <w:spacing w:after="0"/>
              <w:rPr>
                <w:sz w:val="20"/>
                <w:szCs w:val="20"/>
                <w:color w:val="auto"/>
              </w:rPr>
            </w:pPr>
            <w:r>
              <w:rPr>
                <w:rFonts w:ascii="Arial" w:cs="Arial" w:eastAsia="Arial" w:hAnsi="Arial"/>
                <w:sz w:val="17"/>
                <w:szCs w:val="17"/>
                <w:color w:val="auto"/>
                <w:w w:val="90"/>
              </w:rPr>
              <w:t>48.43%</w:t>
            </w:r>
          </w:p>
        </w:tc>
      </w:tr>
      <w:tr>
        <w:trPr>
          <w:trHeight w:val="220"/>
        </w:trPr>
        <w:tc>
          <w:tcPr>
            <w:tcW w:w="620" w:type="dxa"/>
            <w:vAlign w:val="bottom"/>
          </w:tcPr>
          <w:p>
            <w:pPr>
              <w:spacing w:after="0"/>
              <w:rPr>
                <w:sz w:val="19"/>
                <w:szCs w:val="19"/>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1454"/>
              <w:spacing w:after="0"/>
              <w:rPr>
                <w:sz w:val="20"/>
                <w:szCs w:val="20"/>
                <w:color w:val="auto"/>
              </w:rPr>
            </w:pPr>
            <w:r>
              <w:rPr>
                <w:rFonts w:ascii="Arial" w:cs="Arial" w:eastAsia="Arial" w:hAnsi="Arial"/>
                <w:sz w:val="17"/>
                <w:szCs w:val="17"/>
                <w:color w:val="auto"/>
                <w:w w:val="91"/>
              </w:rPr>
              <w:t>1.89%</w:t>
            </w:r>
          </w:p>
        </w:tc>
        <w:tc>
          <w:tcPr>
            <w:tcW w:w="120" w:type="dxa"/>
            <w:vAlign w:val="bottom"/>
            <w:shd w:val="clear" w:color="auto" w:fill="CCEEFF"/>
          </w:tcPr>
          <w:p>
            <w:pPr>
              <w:spacing w:after="0"/>
              <w:rPr>
                <w:sz w:val="19"/>
                <w:szCs w:val="19"/>
                <w:color w:val="auto"/>
              </w:rPr>
            </w:pPr>
          </w:p>
        </w:tc>
      </w:tr>
      <w:tr>
        <w:trPr>
          <w:trHeight w:val="218"/>
        </w:trPr>
        <w:tc>
          <w:tcPr>
            <w:tcW w:w="6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2"/>
          </w:tcPr>
          <w:p>
            <w:pPr>
              <w:jc w:val="center"/>
              <w:ind w:left="1334"/>
              <w:spacing w:after="0"/>
              <w:rPr>
                <w:sz w:val="20"/>
                <w:szCs w:val="20"/>
                <w:color w:val="auto"/>
              </w:rPr>
            </w:pPr>
            <w:r>
              <w:rPr>
                <w:rFonts w:ascii="Arial" w:cs="Arial" w:eastAsia="Arial" w:hAnsi="Arial"/>
                <w:sz w:val="17"/>
                <w:szCs w:val="17"/>
                <w:color w:val="auto"/>
                <w:w w:val="99"/>
              </w:rPr>
              <w:t>—%</w:t>
            </w:r>
          </w:p>
        </w:tc>
      </w:tr>
      <w:tr>
        <w:trPr>
          <w:trHeight w:val="516"/>
        </w:trPr>
        <w:tc>
          <w:tcPr>
            <w:tcW w:w="620" w:type="dxa"/>
            <w:vAlign w:val="bottom"/>
          </w:tcPr>
          <w:p>
            <w:pPr>
              <w:spacing w:after="0"/>
              <w:rPr>
                <w:sz w:val="24"/>
                <w:szCs w:val="24"/>
                <w:color w:val="auto"/>
              </w:rPr>
            </w:pPr>
          </w:p>
        </w:tc>
        <w:tc>
          <w:tcPr>
            <w:tcW w:w="6400" w:type="dxa"/>
            <w:vAlign w:val="bottom"/>
            <w:gridSpan w:val="5"/>
          </w:tcPr>
          <w:p>
            <w:pPr>
              <w:spacing w:after="0"/>
              <w:rPr>
                <w:sz w:val="20"/>
                <w:szCs w:val="20"/>
                <w:color w:val="auto"/>
              </w:rPr>
            </w:pPr>
            <w:r>
              <w:rPr>
                <w:rFonts w:ascii="Arial" w:cs="Arial" w:eastAsia="Arial" w:hAnsi="Arial"/>
                <w:sz w:val="17"/>
                <w:szCs w:val="17"/>
                <w:color w:val="auto"/>
                <w:w w:val="95"/>
              </w:rPr>
              <w:t>The following assumptions were used to estimate the fair value of ESPP purchase rights:</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2"/>
        </w:trPr>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260" w:type="dxa"/>
            <w:vAlign w:val="bottom"/>
            <w:gridSpan w:val="4"/>
          </w:tcPr>
          <w:p>
            <w:pPr>
              <w:ind w:left="760"/>
              <w:spacing w:after="0"/>
              <w:rPr>
                <w:sz w:val="20"/>
                <w:szCs w:val="20"/>
                <w:color w:val="auto"/>
              </w:rPr>
            </w:pPr>
            <w:r>
              <w:rPr>
                <w:rFonts w:ascii="Arial" w:cs="Arial" w:eastAsia="Arial" w:hAnsi="Arial"/>
                <w:sz w:val="17"/>
                <w:szCs w:val="17"/>
                <w:b w:val="1"/>
                <w:bCs w:val="1"/>
                <w:color w:val="auto"/>
              </w:rPr>
              <w:t>Three Months Ended September 30,</w:t>
            </w:r>
          </w:p>
        </w:tc>
        <w:tc>
          <w:tcPr>
            <w:tcW w:w="4320" w:type="dxa"/>
            <w:vAlign w:val="bottom"/>
            <w:gridSpan w:val="4"/>
          </w:tcPr>
          <w:p>
            <w:pPr>
              <w:ind w:left="820"/>
              <w:spacing w:after="0"/>
              <w:rPr>
                <w:sz w:val="20"/>
                <w:szCs w:val="20"/>
                <w:color w:val="auto"/>
              </w:rPr>
            </w:pPr>
            <w:r>
              <w:rPr>
                <w:rFonts w:ascii="Arial" w:cs="Arial" w:eastAsia="Arial" w:hAnsi="Arial"/>
                <w:sz w:val="17"/>
                <w:szCs w:val="17"/>
                <w:b w:val="1"/>
                <w:bCs w:val="1"/>
                <w:color w:val="auto"/>
              </w:rPr>
              <w:t>Nine Months Ended September 30,</w:t>
            </w:r>
          </w:p>
        </w:tc>
      </w:tr>
      <w:tr>
        <w:trPr>
          <w:trHeight w:val="213"/>
        </w:trPr>
        <w:tc>
          <w:tcPr>
            <w:tcW w:w="62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2021</w:t>
            </w:r>
          </w:p>
        </w:tc>
        <w:tc>
          <w:tcPr>
            <w:tcW w:w="80" w:type="dxa"/>
            <w:vAlign w:val="bottom"/>
            <w:tcBorders>
              <w:top w:val="single" w:sz="8" w:color="auto"/>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Borders>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Borders>
              <w:top w:val="single" w:sz="8" w:color="auto"/>
              <w:bottom w:val="single" w:sz="8" w:color="CCEEFF"/>
            </w:tcBorders>
          </w:tcPr>
          <w:p>
            <w:pPr>
              <w:spacing w:after="0"/>
              <w:rPr>
                <w:sz w:val="18"/>
                <w:szCs w:val="18"/>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120" w:type="dxa"/>
            <w:vAlign w:val="bottom"/>
          </w:tcPr>
          <w:p>
            <w:pPr>
              <w:spacing w:after="0"/>
              <w:rPr>
                <w:sz w:val="18"/>
                <w:szCs w:val="18"/>
                <w:color w:val="auto"/>
              </w:rPr>
            </w:pPr>
          </w:p>
        </w:tc>
      </w:tr>
      <w:tr>
        <w:trPr>
          <w:trHeight w:val="21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0.5</w:t>
            </w:r>
          </w:p>
        </w:tc>
        <w:tc>
          <w:tcPr>
            <w:tcW w:w="8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0.5</w:t>
            </w:r>
          </w:p>
        </w:tc>
        <w:tc>
          <w:tcPr>
            <w:tcW w:w="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0"/>
              </w:rPr>
              <w:t>0.5 – 0.6</w:t>
            </w: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0.5</w:t>
            </w:r>
          </w:p>
        </w:tc>
        <w:tc>
          <w:tcPr>
            <w:tcW w:w="120" w:type="dxa"/>
            <w:vAlign w:val="bottom"/>
          </w:tcPr>
          <w:p>
            <w:pPr>
              <w:spacing w:after="0"/>
              <w:rPr>
                <w:sz w:val="18"/>
                <w:szCs w:val="18"/>
                <w:color w:val="auto"/>
              </w:rPr>
            </w:pPr>
          </w:p>
        </w:tc>
      </w:tr>
      <w:tr>
        <w:trPr>
          <w:trHeight w:val="218"/>
        </w:trPr>
        <w:tc>
          <w:tcPr>
            <w:tcW w:w="276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jc w:val="center"/>
              <w:spacing w:after="0"/>
              <w:rPr>
                <w:sz w:val="20"/>
                <w:szCs w:val="20"/>
                <w:color w:val="auto"/>
              </w:rPr>
            </w:pPr>
            <w:r>
              <w:rPr>
                <w:rFonts w:ascii="Arial" w:cs="Arial" w:eastAsia="Arial" w:hAnsi="Arial"/>
                <w:sz w:val="17"/>
                <w:szCs w:val="17"/>
                <w:color w:val="auto"/>
                <w:w w:val="89"/>
              </w:rPr>
              <w:t>152.95%</w:t>
            </w:r>
          </w:p>
        </w:tc>
        <w:tc>
          <w:tcPr>
            <w:tcW w:w="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7"/>
                <w:szCs w:val="17"/>
                <w:color w:val="auto"/>
                <w:w w:val="92"/>
              </w:rPr>
              <w:t>179.35%</w:t>
            </w:r>
          </w:p>
        </w:tc>
        <w:tc>
          <w:tcPr>
            <w:tcW w:w="80" w:type="dxa"/>
            <w:vAlign w:val="bottom"/>
          </w:tcPr>
          <w:p>
            <w:pPr>
              <w:spacing w:after="0"/>
              <w:rPr>
                <w:sz w:val="18"/>
                <w:szCs w:val="18"/>
                <w:color w:val="auto"/>
              </w:rPr>
            </w:pPr>
          </w:p>
        </w:tc>
        <w:tc>
          <w:tcPr>
            <w:tcW w:w="214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61.65% – 152.95%</w:t>
            </w:r>
          </w:p>
        </w:tc>
        <w:tc>
          <w:tcPr>
            <w:tcW w:w="21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91.98% – 179.35%</w:t>
            </w:r>
          </w:p>
        </w:tc>
      </w:tr>
      <w:tr>
        <w:trPr>
          <w:trHeight w:val="22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0.05%</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3.13%</w:t>
            </w:r>
          </w:p>
        </w:tc>
        <w:tc>
          <w:tcPr>
            <w:tcW w:w="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1"/>
              </w:rPr>
              <w:t>0.05% – 0.09%</w:t>
            </w:r>
          </w:p>
        </w:tc>
        <w:tc>
          <w:tcPr>
            <w:tcW w:w="2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0.72% – 3.13%</w:t>
            </w:r>
          </w:p>
        </w:tc>
        <w:tc>
          <w:tcPr>
            <w:tcW w:w="120" w:type="dxa"/>
            <w:vAlign w:val="bottom"/>
          </w:tcPr>
          <w:p>
            <w:pPr>
              <w:spacing w:after="0"/>
              <w:rPr>
                <w:sz w:val="19"/>
                <w:szCs w:val="19"/>
                <w:color w:val="auto"/>
              </w:rPr>
            </w:pPr>
          </w:p>
        </w:tc>
      </w:tr>
      <w:tr>
        <w:trPr>
          <w:trHeight w:val="218"/>
        </w:trPr>
        <w:tc>
          <w:tcPr>
            <w:tcW w:w="276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21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w:t>
            </w:r>
          </w:p>
        </w:tc>
        <w:tc>
          <w:tcPr>
            <w:tcW w:w="2140" w:type="dxa"/>
            <w:vAlign w:val="bottom"/>
            <w:gridSpan w:val="2"/>
          </w:tcPr>
          <w:p>
            <w:pPr>
              <w:jc w:val="center"/>
              <w:ind w:right="60"/>
              <w:spacing w:after="0"/>
              <w:rPr>
                <w:sz w:val="20"/>
                <w:szCs w:val="20"/>
                <w:color w:val="auto"/>
              </w:rPr>
            </w:pPr>
            <w:r>
              <w:rPr>
                <w:rFonts w:ascii="Arial" w:cs="Arial" w:eastAsia="Arial" w:hAnsi="Arial"/>
                <w:sz w:val="17"/>
                <w:szCs w:val="17"/>
                <w:color w:val="auto"/>
                <w:w w:val="99"/>
              </w:rPr>
              <w:t>—%</w:t>
            </w:r>
          </w:p>
        </w:tc>
        <w:tc>
          <w:tcPr>
            <w:tcW w:w="2140" w:type="dxa"/>
            <w:vAlign w:val="bottom"/>
            <w:gridSpan w:val="2"/>
          </w:tcPr>
          <w:p>
            <w:pPr>
              <w:jc w:val="center"/>
              <w:ind w:right="60"/>
              <w:spacing w:after="0"/>
              <w:rPr>
                <w:sz w:val="20"/>
                <w:szCs w:val="20"/>
                <w:color w:val="auto"/>
              </w:rPr>
            </w:pPr>
            <w:r>
              <w:rPr>
                <w:rFonts w:ascii="Arial" w:cs="Arial" w:eastAsia="Arial" w:hAnsi="Arial"/>
                <w:sz w:val="17"/>
                <w:szCs w:val="17"/>
                <w:color w:val="auto"/>
                <w:w w:val="99"/>
              </w:rPr>
              <w:t>—%</w:t>
            </w:r>
          </w:p>
        </w:tc>
        <w:tc>
          <w:tcPr>
            <w:tcW w:w="218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w:t>
            </w:r>
          </w:p>
        </w:tc>
      </w:tr>
    </w:tbl>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0"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Company recorded stock-based compensation in the following expense categories in its condensed consolidated statements of operations and comprehensive income (loss) for employees and nonemployees: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00" w:type="dxa"/>
            <w:vAlign w:val="bottom"/>
            <w:gridSpan w:val="3"/>
          </w:tcPr>
          <w:p>
            <w:pPr>
              <w:jc w:val="right"/>
              <w:ind w:right="254"/>
              <w:spacing w:after="0"/>
              <w:rPr>
                <w:sz w:val="20"/>
                <w:szCs w:val="20"/>
                <w:color w:val="auto"/>
              </w:rPr>
            </w:pPr>
            <w:r>
              <w:rPr>
                <w:rFonts w:ascii="Arial" w:cs="Arial" w:eastAsia="Arial" w:hAnsi="Arial"/>
                <w:sz w:val="17"/>
                <w:szCs w:val="17"/>
                <w:b w:val="1"/>
                <w:bCs w:val="1"/>
                <w:color w:val="auto"/>
                <w:w w:val="91"/>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2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7"/>
                <w:szCs w:val="17"/>
                <w:b w:val="1"/>
                <w:bCs w:val="1"/>
                <w:color w:val="auto"/>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Customer operations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4,314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6,386</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53,254</w:t>
            </w:r>
          </w:p>
        </w:tc>
      </w:tr>
      <w:tr>
        <w:trPr>
          <w:trHeight w:val="21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administrative, and other</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6,335</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14,808</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24,505</w:t>
            </w:r>
          </w:p>
        </w:tc>
      </w:tr>
      <w:tr>
        <w:trPr>
          <w:trHeight w:val="238"/>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20,317</w:t>
            </w: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36,656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50,125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92,035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1360" w:hanging="386"/>
        <w:spacing w:after="0"/>
        <w:tabs>
          <w:tab w:leader="none" w:pos="13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36"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Company’s operating leases expire between 2027 and 2032 and are primarily for its corporate headquarters in San Mateo, California and Columbus, Ohio, as well as additional office space for origination and servicing operations in Columbus, Ohio.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17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00" w:type="dxa"/>
            <w:vAlign w:val="bottom"/>
          </w:tcPr>
          <w:p>
            <w:pPr>
              <w:ind w:left="620"/>
              <w:spacing w:after="0"/>
              <w:rPr>
                <w:sz w:val="20"/>
                <w:szCs w:val="20"/>
                <w:color w:val="auto"/>
              </w:rPr>
            </w:pPr>
            <w:r>
              <w:rPr>
                <w:rFonts w:ascii="Arial" w:cs="Arial" w:eastAsia="Arial" w:hAnsi="Arial"/>
                <w:sz w:val="17"/>
                <w:szCs w:val="17"/>
                <w:color w:val="auto"/>
              </w:rPr>
              <w:t>As of September 30, 2022, future minimum lease payments are as follows: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2"/>
        </w:trPr>
        <w:tc>
          <w:tcPr>
            <w:tcW w:w="9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1"/>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14,741</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16,574</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17,050</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17,546</w:t>
            </w:r>
          </w:p>
        </w:tc>
      </w:tr>
      <w:tr>
        <w:trPr>
          <w:trHeight w:val="21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51,954</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121,100</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Less: Tenant improvement receivables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(4,800)</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(16,882)</w:t>
            </w:r>
          </w:p>
        </w:tc>
      </w:tr>
      <w:tr>
        <w:trPr>
          <w:trHeight w:val="213"/>
        </w:trPr>
        <w:tc>
          <w:tcPr>
            <w:tcW w:w="96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99,418</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98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Nine Months Ended</w:t>
            </w:r>
          </w:p>
        </w:tc>
        <w:tc>
          <w:tcPr>
            <w:tcW w:w="580" w:type="dxa"/>
            <w:vAlign w:val="bottom"/>
          </w:tcPr>
          <w:p>
            <w:pPr>
              <w:spacing w:after="0"/>
              <w:rPr>
                <w:sz w:val="16"/>
                <w:szCs w:val="16"/>
                <w:color w:val="auto"/>
              </w:rPr>
            </w:pPr>
          </w:p>
        </w:tc>
      </w:tr>
      <w:tr>
        <w:trPr>
          <w:trHeight w:val="228"/>
        </w:trPr>
        <w:tc>
          <w:tcPr>
            <w:tcW w:w="4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7"/>
                <w:szCs w:val="17"/>
                <w:b w:val="1"/>
                <w:bCs w:val="1"/>
                <w:color w:val="auto"/>
                <w:w w:val="98"/>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b w:val="1"/>
                <w:bCs w:val="1"/>
                <w:color w:val="auto"/>
                <w:w w:val="94"/>
              </w:rPr>
              <w:t>September 30,</w:t>
            </w:r>
          </w:p>
        </w:tc>
        <w:tc>
          <w:tcPr>
            <w:tcW w:w="58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 expense</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11,837</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Variable lease payments</w:t>
            </w:r>
          </w:p>
        </w:tc>
        <w:tc>
          <w:tcPr>
            <w:tcW w:w="1140" w:type="dxa"/>
            <w:vAlign w:val="bottom"/>
          </w:tcPr>
          <w:p>
            <w:pPr>
              <w:jc w:val="right"/>
              <w:ind w:right="954"/>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454</w:t>
            </w:r>
          </w:p>
        </w:tc>
        <w:tc>
          <w:tcPr>
            <w:tcW w:w="80" w:type="dxa"/>
            <w:vAlign w:val="bottom"/>
          </w:tcPr>
          <w:p>
            <w:pPr>
              <w:spacing w:after="0"/>
              <w:rPr>
                <w:sz w:val="18"/>
                <w:szCs w:val="18"/>
                <w:color w:val="auto"/>
              </w:rPr>
            </w:pP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1,115</w:t>
            </w:r>
          </w:p>
        </w:tc>
        <w:tc>
          <w:tcPr>
            <w:tcW w:w="80" w:type="dxa"/>
            <w:vAlign w:val="bottom"/>
          </w:tcPr>
          <w:p>
            <w:pPr>
              <w:spacing w:after="0"/>
              <w:rPr>
                <w:sz w:val="18"/>
                <w:szCs w:val="18"/>
                <w:color w:val="auto"/>
              </w:rPr>
            </w:pP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2,724</w:t>
            </w:r>
          </w:p>
        </w:tc>
      </w:tr>
    </w:tbl>
    <w:p>
      <w:pPr>
        <w:spacing w:after="0" w:line="31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cash flow and non-cash information related to the Company’s operating leases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gridSpan w:val="5"/>
          </w:tcPr>
          <w:p>
            <w:pPr>
              <w:ind w:left="60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7"/>
                <w:szCs w:val="17"/>
                <w:b w:val="1"/>
                <w:bCs w:val="1"/>
                <w:color w:val="auto"/>
              </w:rPr>
              <w:t>September 30,</w:t>
            </w:r>
          </w:p>
        </w:tc>
      </w:tr>
      <w:tr>
        <w:trPr>
          <w:trHeight w:val="217"/>
        </w:trPr>
        <w:tc>
          <w:tcPr>
            <w:tcW w:w="4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89"/>
              </w:rPr>
              <w:t>2022</w:t>
            </w:r>
          </w:p>
        </w:tc>
      </w:tr>
      <w:tr>
        <w:trPr>
          <w:trHeight w:val="148"/>
        </w:trPr>
        <w:tc>
          <w:tcPr>
            <w:tcW w:w="42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1"/>
              </w:rPr>
              <w:t>Cash paid for amounts included in the measurement of lease</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7,967</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Total right-of-use assets capitalized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55,149</w:t>
            </w:r>
          </w:p>
        </w:tc>
        <w:tc>
          <w:tcPr>
            <w:tcW w:w="8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55,149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16"/>
        </w:trPr>
        <w:tc>
          <w:tcPr>
            <w:tcW w:w="7880" w:type="dxa"/>
            <w:vAlign w:val="bottom"/>
            <w:gridSpan w:val="7"/>
          </w:tcPr>
          <w:p>
            <w:pPr>
              <w:ind w:left="620"/>
              <w:spacing w:after="0"/>
              <w:rPr>
                <w:sz w:val="20"/>
                <w:szCs w:val="20"/>
                <w:color w:val="auto"/>
              </w:rPr>
            </w:pPr>
            <w:r>
              <w:rPr>
                <w:rFonts w:ascii="Arial" w:cs="Arial" w:eastAsia="Arial" w:hAnsi="Arial"/>
                <w:sz w:val="17"/>
                <w:szCs w:val="17"/>
                <w:color w:val="auto"/>
                <w:w w:val="97"/>
              </w:rPr>
              <w:t>Supplemental balance sheet information related to the Company’s operating leases was as follows: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7"/>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194"/>
              <w:spacing w:after="0"/>
              <w:rPr>
                <w:sz w:val="20"/>
                <w:szCs w:val="20"/>
                <w:color w:val="auto"/>
              </w:rPr>
            </w:pPr>
            <w:r>
              <w:rPr>
                <w:rFonts w:ascii="Arial" w:cs="Arial" w:eastAsia="Arial" w:hAnsi="Arial"/>
                <w:sz w:val="17"/>
                <w:szCs w:val="17"/>
                <w:b w:val="1"/>
                <w:bCs w:val="1"/>
                <w:color w:val="auto"/>
                <w:w w:val="98"/>
              </w:rPr>
              <w:t>September 30,</w:t>
            </w:r>
          </w:p>
        </w:tc>
      </w:tr>
      <w:tr>
        <w:trPr>
          <w:trHeight w:val="224"/>
        </w:trPr>
        <w:tc>
          <w:tcPr>
            <w:tcW w:w="4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89"/>
              </w:rPr>
              <w:t>2022</w:t>
            </w:r>
          </w:p>
        </w:tc>
      </w:tr>
      <w:tr>
        <w:trPr>
          <w:trHeight w:val="213"/>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94"/>
              <w:spacing w:after="0"/>
              <w:rPr>
                <w:sz w:val="20"/>
                <w:szCs w:val="20"/>
                <w:color w:val="auto"/>
              </w:rPr>
            </w:pPr>
            <w:r>
              <w:rPr>
                <w:rFonts w:ascii="Arial" w:cs="Arial" w:eastAsia="Arial" w:hAnsi="Arial"/>
                <w:sz w:val="17"/>
                <w:szCs w:val="17"/>
                <w:color w:val="auto"/>
                <w:w w:val="90"/>
              </w:rPr>
              <w:t>7.49</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4"/>
              <w:spacing w:after="0"/>
              <w:rPr>
                <w:sz w:val="20"/>
                <w:szCs w:val="20"/>
                <w:color w:val="auto"/>
              </w:rPr>
            </w:pPr>
            <w:r>
              <w:rPr>
                <w:rFonts w:ascii="Arial" w:cs="Arial" w:eastAsia="Arial" w:hAnsi="Arial"/>
                <w:sz w:val="17"/>
                <w:szCs w:val="17"/>
                <w:color w:val="auto"/>
                <w:w w:val="91"/>
              </w:rPr>
              <w:t>3.84%</w:t>
            </w:r>
          </w:p>
        </w:tc>
      </w:tr>
    </w:tbl>
    <w:p>
      <w:pPr>
        <w:spacing w:after="0" w:line="200" w:lineRule="exact"/>
        <w:rPr>
          <w:sz w:val="20"/>
          <w:szCs w:val="20"/>
          <w:color w:val="auto"/>
        </w:rPr>
      </w:pPr>
    </w:p>
    <w:p>
      <w:pPr>
        <w:spacing w:after="0" w:line="312"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Company has loan purchase obligations under the Company’s loan agreements with certain bank partners. These bank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2021 and September 30, 2022, the total loan purchase commitment included outstanding principal balance of $111.3 million and $59.8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Contingencies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2021 and September 30, 2022, no loss contingency has been recorded in connection with legal proceedings.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Indemnifications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Repurchases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maximum potential amount of future payments associated under this obligation is the outstanding balances of the loans sold to the investors, which at December 31, 2021 and September 30, 2022 is $12,905.5 million and $16,379.6 million, respectively. Actual payments made relating to the Company’s repurchase and indemnification obligations were immaterial. The Company has recorded contingent liabilities as of December 31, 2021 and September 30, 2022 of immaterial amounts to cover estimated future obligations related to these contractual terms. These amounts are included in accrued expenses and other liabilities on the Company’s condensed consolidated balance sheets.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Legal</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75"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Under the current scheduling order, the lead plaintiff will file a consolidated amended complaint on or before November 14, 2022, and defendants will file a motion to dismiss on or before January 13, 2023.</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believes the claims in the above-referenced lawsuits are without merit and intends to defend itself vigorously.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July 28, 2022, a derivative lawsuit was filed in United States District Court, Southern District of Ohio, captioned OConnor v. Huber et al., Case No.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2:22-cv-02961-EAS-KAJ (S.D. Ohio). The OConnor action includes allegations similar to those in the Crain complaint, and names as defendants each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 current board members and its Chief Financial Officer. The Company is named as a nominal defendant. The OConnor action includes claims for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violation of Section 10(b) of the Exchange Act and Rule 10b-5 promulgated thereunder, breach of fiduciary duty, aiding and abetting breach of fiduciary duty,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unjust enrichment, and waste of corporate assets. The OConnor action seeks unspecified monetary damages and an accounting from the individual defendants.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OConnor action also seeks unspecified corporate governance and internal procedure modifications, punitive damages, and legal fees.</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October 7, 2022, a second derivative lawsuit was filed in United States District Court, Southern District of Ohio, captioned Chung v. Huber et al., No.</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2:22-cv-03620-MHW-CMV (S.D. Ohio). The Chung action includes allegations similar to those in the OConnor complaint, and names as defendants each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Company’s current board members, a former board member, and its Chief Financial Officer. The Company is named as a nominal defendant. The Chung action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includes claims for violation of Section 10(b), 14(a), and 21D of the Exchange Act, breach of fiduciary duties, unjust enrichment, abuse of control, gross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mismanagement, and waste of corporate assets. The Chung action seeks unspecified monetary damages, restitution, and attorney’s fees and costs from the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individual defendants. It also seeks corporate governance and internal procedure modifications.</w:t>
      </w:r>
    </w:p>
    <w:p>
      <w:pPr>
        <w:spacing w:after="0" w:line="232"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60" w:hanging="386"/>
        <w:spacing w:after="0"/>
        <w:tabs>
          <w:tab w:leader="none" w:pos="13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effective tax rates for the three and nine months ended September 30, 2021 and 2022,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3020" w:type="dxa"/>
            <w:vAlign w:val="bottom"/>
            <w:gridSpan w:val="4"/>
          </w:tcPr>
          <w:p>
            <w:pPr>
              <w:jc w:val="center"/>
              <w:ind w:left="574"/>
              <w:spacing w:after="0"/>
              <w:rPr>
                <w:sz w:val="20"/>
                <w:szCs w:val="20"/>
                <w:color w:val="auto"/>
              </w:rPr>
            </w:pPr>
            <w:r>
              <w:rPr>
                <w:rFonts w:ascii="Arial" w:cs="Arial" w:eastAsia="Arial" w:hAnsi="Arial"/>
                <w:sz w:val="17"/>
                <w:szCs w:val="17"/>
                <w:b w:val="1"/>
                <w:bCs w:val="1"/>
                <w:color w:val="auto"/>
                <w:w w:val="92"/>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center"/>
              <w:ind w:right="314"/>
              <w:spacing w:after="0"/>
              <w:rPr>
                <w:sz w:val="20"/>
                <w:szCs w:val="20"/>
                <w:color w:val="auto"/>
              </w:rPr>
            </w:pPr>
            <w:r>
              <w:rPr>
                <w:rFonts w:ascii="Arial" w:cs="Arial" w:eastAsia="Arial" w:hAnsi="Arial"/>
                <w:sz w:val="17"/>
                <w:szCs w:val="17"/>
                <w:b w:val="1"/>
                <w:bCs w:val="1"/>
                <w:color w:val="auto"/>
                <w:w w:val="91"/>
              </w:rPr>
              <w:t>Nine Months Ended</w:t>
            </w:r>
          </w:p>
        </w:tc>
      </w:tr>
      <w:tr>
        <w:trPr>
          <w:trHeight w:val="228"/>
        </w:trPr>
        <w:tc>
          <w:tcPr>
            <w:tcW w:w="39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7"/>
                <w:szCs w:val="17"/>
                <w:b w:val="1"/>
                <w:bCs w:val="1"/>
                <w:color w:val="auto"/>
                <w:w w:val="89"/>
              </w:rPr>
              <w:t>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7"/>
                <w:szCs w:val="17"/>
                <w:b w:val="1"/>
                <w:bCs w:val="1"/>
                <w:color w:val="auto"/>
                <w:w w:val="91"/>
              </w:rPr>
              <w:t>September 30,</w:t>
            </w:r>
          </w:p>
        </w:tc>
        <w:tc>
          <w:tcPr>
            <w:tcW w:w="1120" w:type="dxa"/>
            <w:vAlign w:val="bottom"/>
            <w:tcBorders>
              <w:bottom w:val="single" w:sz="8" w:color="auto"/>
            </w:tcBorders>
          </w:tcPr>
          <w:p>
            <w:pPr>
              <w:spacing w:after="0"/>
              <w:rPr>
                <w:sz w:val="19"/>
                <w:szCs w:val="19"/>
                <w:color w:val="auto"/>
              </w:rPr>
            </w:pPr>
          </w:p>
        </w:tc>
      </w:tr>
      <w:tr>
        <w:trPr>
          <w:trHeight w:val="217"/>
        </w:trPr>
        <w:tc>
          <w:tcPr>
            <w:tcW w:w="3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96"/>
              </w:rPr>
              <w:t>(1,268)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(2,035)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w:t>
            </w: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(0.10)%</w:t>
            </w:r>
          </w:p>
        </w:tc>
      </w:tr>
    </w:tbl>
    <w:p>
      <w:pPr>
        <w:spacing w:after="0" w:line="3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during the period. The increase in the effective tax rate for the three and nine months ended September 30, 2022 was primarily driven by an increase in the Company's state tax liabilities in 2022. Compared to the same periods in 2021, the Company’s effective tax rate in 2022 has normalized from a partial valuation allowance release driven by an acquisition that occurred during the three months ended June 30, 2021 and a net 2021 tax expense decrease in separate filings state jurisdictions. The effective tax rate differs from the U.S. statutory tax rate primarily due to the valuation allowance on the Company’s deferred tax assets as it is more likely than not that some or all of these deferred tax assets will not be realized.</w:t>
      </w:r>
    </w:p>
    <w:p>
      <w:pPr>
        <w:spacing w:after="0" w:line="396" w:lineRule="exact"/>
        <w:rPr>
          <w:sz w:val="20"/>
          <w:szCs w:val="20"/>
          <w:color w:val="auto"/>
        </w:rPr>
      </w:pPr>
    </w:p>
    <w:p>
      <w:pPr>
        <w:ind w:left="1360" w:hanging="386"/>
        <w:spacing w:after="0"/>
        <w:tabs>
          <w:tab w:leader="none" w:pos="13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Basic net income (loss) per common share is based on the weighted-average common shares outstanding during the relevant period. Diluted net income (loss) per share is based on the weighted-average common shares outstanding during the relevant period adjusted for the dilutive effect of share-based awards and convertible debt. Basic and diluted net income (loss) per share are computed independently for each fiscal quarter and year-to-date period, which involves the use of different weighted-average share count figures relating to quarterly and year-to-date periods. As a result, and after factoring the effect of rounding to the nearest cent per share, the sum of each fiscal quarter-to-date basic and diluted net income (loss) per share may not equal year-to-date basic and diluted net income (loss) per share.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periods in which the Company reports net losses, basic and diluted net loss per share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620"/>
              <w:spacing w:after="0"/>
              <w:rPr>
                <w:sz w:val="20"/>
                <w:szCs w:val="20"/>
                <w:color w:val="auto"/>
              </w:rPr>
            </w:pPr>
            <w:r>
              <w:rPr>
                <w:rFonts w:ascii="Arial" w:cs="Arial" w:eastAsia="Arial" w:hAnsi="Arial"/>
                <w:sz w:val="17"/>
                <w:szCs w:val="17"/>
                <w:b w:val="1"/>
                <w:bCs w:val="1"/>
                <w:color w:val="auto"/>
              </w:rPr>
              <w:t>Three Months Ended</w:t>
            </w:r>
          </w:p>
        </w:tc>
        <w:tc>
          <w:tcPr>
            <w:tcW w:w="420" w:type="dxa"/>
            <w:vAlign w:val="bottom"/>
          </w:tcPr>
          <w:p>
            <w:pPr>
              <w:spacing w:after="0"/>
              <w:rPr>
                <w:sz w:val="16"/>
                <w:szCs w:val="16"/>
                <w:color w:val="auto"/>
              </w:rPr>
            </w:pPr>
          </w:p>
        </w:tc>
        <w:tc>
          <w:tcPr>
            <w:tcW w:w="220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Numerator:</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198"/>
        </w:trPr>
        <w:tc>
          <w:tcPr>
            <w:tcW w:w="38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(53,402)</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calculate net income (loss) per share, basic</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79,392,600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81,672,099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76,586,395</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83,236,131</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Weighted-average effect of dilutive securities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16,664,610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17,578,930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9"/>
        </w:trPr>
        <w:tc>
          <w:tcPr>
            <w:tcW w:w="384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96,057,210</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81,672,099</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94,165,325</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83,236,131</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calculate net income (loss) per share, diluted</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8"/>
                <w:szCs w:val="18"/>
                <w:color w:val="auto"/>
              </w:rPr>
            </w:pPr>
          </w:p>
        </w:tc>
        <w:tc>
          <w:tcPr>
            <w:tcW w:w="64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(0.69)</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720" w:type="dxa"/>
            <w:vAlign w:val="bottom"/>
          </w:tcPr>
          <w:p>
            <w:pPr>
              <w:jc w:val="right"/>
              <w:ind w:right="53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securities were excluded from the computation of diluted net income (loss) per share for the periods presented, because including them would have been anti-dilutive. These amounts represent the number of instruments outstanding at the end of each respective period: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640" w:type="dxa"/>
            <w:vAlign w:val="bottom"/>
            <w:gridSpan w:val="5"/>
          </w:tcPr>
          <w:p>
            <w:pPr>
              <w:jc w:val="center"/>
              <w:ind w:right="80"/>
              <w:spacing w:after="0"/>
              <w:rPr>
                <w:sz w:val="20"/>
                <w:szCs w:val="20"/>
                <w:color w:val="auto"/>
              </w:rPr>
            </w:pPr>
            <w:r>
              <w:rPr>
                <w:rFonts w:ascii="Arial" w:cs="Arial" w:eastAsia="Arial" w:hAnsi="Arial"/>
                <w:sz w:val="17"/>
                <w:szCs w:val="17"/>
                <w:b w:val="1"/>
                <w:bCs w:val="1"/>
                <w:color w:val="auto"/>
                <w:w w:val="92"/>
              </w:rPr>
              <w:t>Three Months Ended</w:t>
            </w:r>
          </w:p>
        </w:tc>
        <w:tc>
          <w:tcPr>
            <w:tcW w:w="33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3"/>
              </w:rPr>
              <w:t>Nine Months Ended</w:t>
            </w:r>
          </w:p>
        </w:tc>
      </w:tr>
      <w:tr>
        <w:trPr>
          <w:trHeight w:val="228"/>
        </w:trPr>
        <w:tc>
          <w:tcPr>
            <w:tcW w:w="4240" w:type="dxa"/>
            <w:vAlign w:val="bottom"/>
          </w:tcPr>
          <w:p>
            <w:pPr>
              <w:spacing w:after="0"/>
              <w:rPr>
                <w:sz w:val="19"/>
                <w:szCs w:val="19"/>
                <w:color w:val="auto"/>
              </w:rPr>
            </w:pPr>
          </w:p>
        </w:tc>
        <w:tc>
          <w:tcPr>
            <w:tcW w:w="2400" w:type="dxa"/>
            <w:vAlign w:val="bottom"/>
            <w:tcBorders>
              <w:bottom w:val="single" w:sz="8" w:color="auto"/>
            </w:tcBorders>
            <w:gridSpan w:val="3"/>
          </w:tcPr>
          <w:p>
            <w:pPr>
              <w:jc w:val="center"/>
              <w:ind w:left="1074"/>
              <w:spacing w:after="0"/>
              <w:rPr>
                <w:sz w:val="20"/>
                <w:szCs w:val="20"/>
                <w:color w:val="auto"/>
              </w:rPr>
            </w:pPr>
            <w:r>
              <w:rPr>
                <w:rFonts w:ascii="Arial" w:cs="Arial" w:eastAsia="Arial" w:hAnsi="Arial"/>
                <w:sz w:val="17"/>
                <w:szCs w:val="17"/>
                <w:b w:val="1"/>
                <w:bCs w:val="1"/>
                <w:color w:val="auto"/>
                <w:w w:val="89"/>
              </w:rPr>
              <w:t>September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auto"/>
            </w:tcBorders>
            <w:gridSpan w:val="3"/>
          </w:tcPr>
          <w:p>
            <w:pPr>
              <w:jc w:val="center"/>
              <w:ind w:left="974"/>
              <w:spacing w:after="0"/>
              <w:rPr>
                <w:sz w:val="20"/>
                <w:szCs w:val="20"/>
                <w:color w:val="auto"/>
              </w:rPr>
            </w:pPr>
            <w:r>
              <w:rPr>
                <w:rFonts w:ascii="Arial" w:cs="Arial" w:eastAsia="Arial" w:hAnsi="Arial"/>
                <w:sz w:val="17"/>
                <w:szCs w:val="17"/>
                <w:b w:val="1"/>
                <w:bCs w:val="1"/>
                <w:color w:val="auto"/>
                <w:w w:val="89"/>
              </w:rPr>
              <w:t>September 30,</w:t>
            </w:r>
          </w:p>
        </w:tc>
        <w:tc>
          <w:tcPr>
            <w:tcW w:w="1060" w:type="dxa"/>
            <w:vAlign w:val="bottom"/>
            <w:tcBorders>
              <w:bottom w:val="single" w:sz="8" w:color="auto"/>
            </w:tcBorders>
          </w:tcPr>
          <w:p>
            <w:pPr>
              <w:spacing w:after="0"/>
              <w:rPr>
                <w:sz w:val="19"/>
                <w:szCs w:val="19"/>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11,723,427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501,476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11,723,427</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Unvested RSUs</w:t>
            </w:r>
          </w:p>
        </w:tc>
        <w:tc>
          <w:tcPr>
            <w:tcW w:w="1740" w:type="dxa"/>
            <w:vAlign w:val="bottom"/>
          </w:tcPr>
          <w:p>
            <w:pPr>
              <w:jc w:val="right"/>
              <w:spacing w:after="0"/>
              <w:rPr>
                <w:sz w:val="20"/>
                <w:szCs w:val="20"/>
                <w:color w:val="auto"/>
              </w:rPr>
            </w:pPr>
            <w:r>
              <w:rPr>
                <w:rFonts w:ascii="Arial" w:cs="Arial" w:eastAsia="Arial" w:hAnsi="Arial"/>
                <w:sz w:val="17"/>
                <w:szCs w:val="17"/>
                <w:color w:val="auto"/>
              </w:rPr>
              <w:t>214,481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4,679,719</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896,131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4,679,719</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PRSUs</w:t>
            </w:r>
          </w:p>
        </w:tc>
        <w:tc>
          <w:tcPr>
            <w:tcW w:w="240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10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Purchase rights committed under the ESPP</w:t>
            </w:r>
          </w:p>
        </w:tc>
        <w:tc>
          <w:tcPr>
            <w:tcW w:w="1740" w:type="dxa"/>
            <w:vAlign w:val="bottom"/>
          </w:tcPr>
          <w:p>
            <w:pPr>
              <w:jc w:val="right"/>
              <w:spacing w:after="0"/>
              <w:rPr>
                <w:sz w:val="20"/>
                <w:szCs w:val="20"/>
                <w:color w:val="auto"/>
              </w:rPr>
            </w:pPr>
            <w:r>
              <w:rPr>
                <w:rFonts w:ascii="Arial" w:cs="Arial" w:eastAsia="Arial" w:hAnsi="Arial"/>
                <w:sz w:val="17"/>
                <w:szCs w:val="17"/>
                <w:color w:val="auto"/>
              </w:rPr>
              <w:t>27,746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109,198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27,746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109,198</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debt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r>
      <w:tr>
        <w:trPr>
          <w:trHeight w:val="213"/>
        </w:trPr>
        <w:tc>
          <w:tcPr>
            <w:tcW w:w="4240" w:type="dxa"/>
            <w:vAlign w:val="bottom"/>
          </w:tcPr>
          <w:p>
            <w:pPr>
              <w:ind w:left="120"/>
              <w:spacing w:after="0"/>
              <w:rPr>
                <w:sz w:val="20"/>
                <w:szCs w:val="20"/>
                <w:color w:val="auto"/>
              </w:rPr>
            </w:pPr>
            <w:r>
              <w:rPr>
                <w:rFonts w:ascii="Arial" w:cs="Arial" w:eastAsia="Arial" w:hAnsi="Arial"/>
                <w:sz w:val="17"/>
                <w:szCs w:val="17"/>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2,565,615</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19,517,922</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3,743,431</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19,517,922</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1360" w:hanging="386"/>
        <w:spacing w:after="0"/>
        <w:tabs>
          <w:tab w:leader="none" w:pos="136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evaluated events that have occurred through the filing date of this Form 10-Q. Based on its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8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In the nine months ended September 30, 2022, 28% of the loans funded through our platform were retained by originating banks, 65% of loans were purchased by institutional investors through our loan funding programs and the remaining 7% were funded through our balance sheet. Over the last few years, the percentage of loans funded through our balance sheet has generally decreased, while the percentage of loans purchased by institutional investors has generally increased. However, in 2022, we have increased the percentage of loans retained by Upstart. Most of these loans are R&amp;D Loans that we hold on our balance sheet for research and development purposes, including to test and evaluate the accuracy of our AI models for these loans. R&amp;D Loans are primarily our auto refinance and auto retail loan products, personal loan products issued to new categories of borrowers, and other new unsecured loan products. R&amp;D Loans are not yet part of our established capital markets programs or other loan funding programs with institutional investors.</w:t>
      </w:r>
    </w:p>
    <w:p>
      <w:pPr>
        <w:spacing w:after="0" w:line="19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Further, in order to address recent funding constraints for our personal loans, Upstart has utilized its balance sheet to support short-term funding requirements of loans that would otherwise be purchased and held by institutional investors or securitized. While our long-term plan is to bring more committed capital from third parties to our marketplace, in the meantime, we expect to continue contributing our own capital towards funding Upstart-powered loans.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Economic Model</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Upstart’s revenues are primarily earned in exchange for the use of our platform and for borrower referral services provided to our bank partners through our lending marketplace. Fees for these services can be either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or based on a variable price per unit, depending on the contractual arrangement. Platform services result in loan originations by our bank partners using our platform and referral services result in a referral of a borrower obtaining a loan from our bank partners. These fees are combined for accounting purposes as they represent a single performance obligation. We do not charge the borrowers on our platform any referral, platform or other similar fees for our loan matching services.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also charge the holder of the loan (either a bank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while volatile on a quarter by quarter basis, has trended upward over the last several years. We continue to focus on improvements to our level of automation and Conversion Rate through our increasingly sophisticated risk models and our evolving channel mix. While these metrics can fluctuate from period to period, they are trending upwards overall and contribute to improving our loan unit economics over time.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Factors Affecting Our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Improvements to Our AI Models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of our bank partners or institutional investors at the time of origination. Since 2018 through to the end of 2021, all quarterly vintages of loans retained by our bank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and early 2022 vintages have underperformed relative to target returns.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an economic downturn, we believe consumer lending will generally contract. Bank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bank partners and institutional investors. We expect these dynamics would generally invert in an economic upswing.</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Loan funding provided by institutional investors was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 As a result, in the third quarter of 2022, our Transaction Volume, Dollars decreased by 44% in comparison to the second quarter of 2022.</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Further, several of our bank partners have paused or reduced loan originations in order to limit their exposure in the current macroeconomic environment. In order to create greater stability for our business, we are planning to secure committed capital from bank partners and institutional investors that will contribute loan funding consistently throughout macroeconomic cycles. In the interim period, we expect to utilize our balance sheet to support short-term loan funding requirements. While our goal remains to operate as a marketplace for credit, we will continue to leverage our balance sheet in the short term as we evaluate opportunities to implement a committed capital structure.</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the COVID-19 pandemic has had, and continues to have, a significant impact on the U.S. economy and markets in which we operate. Starting in the second half of March 2020, the COVID-19 pandemic impacted origination volumes on our platform. The rapid rise in unemployment in the United States led to a reduction in originations by bank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which has led to the credit risk of borrowers who benefited from these government assistance programs surpassing pre-pandemic levels and led to borrower default rates above historical norms.</w:t>
      </w:r>
    </w:p>
    <w:p>
      <w:pPr>
        <w:spacing w:after="0" w:line="19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bank partners and institutional investors. The expiration of the government assistance programs had the greatest impact on higher risk borrowers, resulting in a greater increase in default rates for these groups as compared to other less risky borrowers.</w:t>
      </w:r>
    </w:p>
    <w:p>
      <w:pPr>
        <w:spacing w:after="0" w:line="189"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We have adjusted our AI models by incorporating different types of economic data, such as unemployment levels and inflation rates, that we receive from third party sources. These adjustments impact interest rates for loans offered on our platform and, as a result, affect borrower acceptance rates of these loans. Recently, this resulted in higher interest rates for the loans being offered through our platform and lower borrower acceptance rates of such loans. But while these economic data help our AI models take into account the current macroeconomic environment, we focus on the ability of our AI models to separate high and low risk borrowers which demonstrates the resilience in the performance of our AI models and Upstart-powered loans during downward shifts in economic cycles relative to general consumer credit. If we do it successfully, it could strengthen our competitive positioning when we emerge from such downturns.</w:t>
      </w:r>
    </w:p>
    <w:p>
      <w:pPr>
        <w:spacing w:after="0" w:line="18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continuously monitor the direct and indirect impacts of the current macroeconomic conditions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Bank and Market Adoption</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Banks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provide funding support beyond our bank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Expansion and Innovation</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that significant growth opportunities exist to apply our evolving AI technology to additional segments of credit, and we continue to invest in research and development of our products. In the second quarter of 2022, we originated our first small business loans and introduced a new offering of personal loans for borrowers interested in small dollar loans.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and Non-GAAP Financial Metrics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focus on several key operating and Non-GAAP financial metrics to measure the performance of our business and help determine strategic direction.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our key operating and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gridSpan w:val="5"/>
          </w:tcPr>
          <w:p>
            <w:pPr>
              <w:ind w:left="66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9"/>
                <w:szCs w:val="19"/>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September 30,</w:t>
            </w: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28"/>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7"/>
        </w:trPr>
        <w:tc>
          <w:tcPr>
            <w:tcW w:w="4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Volume, Dollars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3,129,652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1,850,521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7,653,314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9,662,244</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Transaction Volume, Number of Loans</w:t>
            </w:r>
          </w:p>
        </w:tc>
        <w:tc>
          <w:tcPr>
            <w:tcW w:w="42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362,780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188,519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819,386</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975,194</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Rate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14.9%</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Percentage of Loans Fully Automated</w:t>
            </w:r>
          </w:p>
        </w:tc>
        <w:tc>
          <w:tcPr>
            <w:tcW w:w="42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74%</w:t>
            </w:r>
          </w:p>
        </w:tc>
      </w:tr>
      <w:tr>
        <w:trPr>
          <w:trHeight w:val="207"/>
        </w:trPr>
        <w:tc>
          <w:tcPr>
            <w:tcW w:w="4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4080" w:type="dxa"/>
            <w:vAlign w:val="bottom"/>
          </w:tcPr>
          <w:p>
            <w:pPr>
              <w:ind w:left="20"/>
              <w:spacing w:after="0" w:line="219" w:lineRule="exact"/>
              <w:rPr>
                <w:sz w:val="20"/>
                <w:szCs w:val="20"/>
                <w:color w:val="auto"/>
              </w:rPr>
            </w:pPr>
            <w:r>
              <w:rPr>
                <w:rFonts w:ascii="Arial" w:cs="Arial" w:eastAsia="Arial" w:hAnsi="Arial"/>
                <w:sz w:val="17"/>
                <w:szCs w:val="17"/>
                <w:color w:val="auto"/>
              </w:rPr>
              <w:t>Contribution Profit</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95,913</w:t>
            </w:r>
          </w:p>
        </w:tc>
        <w:tc>
          <w:tcPr>
            <w:tcW w:w="8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96,012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248,397</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364,783</w:t>
            </w:r>
          </w:p>
        </w:tc>
      </w:tr>
      <w:tr>
        <w:trPr>
          <w:trHeight w:val="219"/>
        </w:trPr>
        <w:tc>
          <w:tcPr>
            <w:tcW w:w="40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i w:val="1"/>
                <w:iCs w:val="1"/>
                <w:color w:val="auto"/>
              </w:rPr>
              <w:t>Contribution Margin</w:t>
            </w:r>
            <w:r>
              <w:rPr>
                <w:rFonts w:ascii="Arial" w:cs="Arial" w:eastAsia="Arial" w:hAnsi="Arial"/>
                <w:sz w:val="22"/>
                <w:szCs w:val="22"/>
                <w:i w:val="1"/>
                <w:iCs w:val="1"/>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49%</w:t>
            </w:r>
          </w:p>
        </w:tc>
      </w:tr>
      <w:tr>
        <w:trPr>
          <w:trHeight w:val="219"/>
        </w:trPr>
        <w:tc>
          <w:tcPr>
            <w:tcW w:w="4080" w:type="dxa"/>
            <w:vAlign w:val="bottom"/>
          </w:tcPr>
          <w:p>
            <w:pPr>
              <w:spacing w:after="0" w:line="219"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59,139</w:t>
            </w:r>
          </w:p>
        </w:tc>
        <w:tc>
          <w:tcPr>
            <w:tcW w:w="8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(14,358)</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140,940</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53,744</w:t>
            </w:r>
          </w:p>
        </w:tc>
      </w:tr>
      <w:tr>
        <w:trPr>
          <w:trHeight w:val="219"/>
        </w:trPr>
        <w:tc>
          <w:tcPr>
            <w:tcW w:w="408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i w:val="1"/>
                <w:iCs w:val="1"/>
                <w:color w:val="auto"/>
              </w:rPr>
              <w:t>Adjusted EBITDA Margin</w:t>
            </w:r>
            <w:r>
              <w:rPr>
                <w:rFonts w:ascii="Arial" w:cs="Arial" w:eastAsia="Arial" w:hAnsi="Arial"/>
                <w:sz w:val="22"/>
                <w:szCs w:val="22"/>
                <w:i w:val="1"/>
                <w:iCs w:val="1"/>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w:t>
            </w:r>
          </w:p>
        </w:tc>
      </w:tr>
      <w:tr>
        <w:trPr>
          <w:trHeight w:val="219"/>
        </w:trPr>
        <w:tc>
          <w:tcPr>
            <w:tcW w:w="4080" w:type="dxa"/>
            <w:vAlign w:val="bottom"/>
          </w:tcPr>
          <w:p>
            <w:pPr>
              <w:ind w:left="20"/>
              <w:spacing w:after="0" w:line="219"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57,446</w:t>
            </w:r>
          </w:p>
        </w:tc>
        <w:tc>
          <w:tcPr>
            <w:tcW w:w="8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(19,266)</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137,184</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40,319</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4080" w:type="dxa"/>
            <w:vAlign w:val="bottom"/>
          </w:tcPr>
          <w:p>
            <w:pPr>
              <w:ind w:left="220"/>
              <w:spacing w:after="0" w:line="219" w:lineRule="exact"/>
              <w:rPr>
                <w:sz w:val="20"/>
                <w:szCs w:val="20"/>
                <w:color w:val="auto"/>
              </w:rPr>
            </w:pPr>
            <w:r>
              <w:rPr>
                <w:rFonts w:ascii="Arial" w:cs="Arial" w:eastAsia="Arial" w:hAnsi="Arial"/>
                <w:sz w:val="17"/>
                <w:szCs w:val="17"/>
                <w:color w:val="auto"/>
              </w:rPr>
              <w:t>Basic</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0.72</w:t>
            </w:r>
          </w:p>
        </w:tc>
        <w:tc>
          <w:tcPr>
            <w:tcW w:w="80" w:type="dxa"/>
            <w:vAlign w:val="bottom"/>
          </w:tcPr>
          <w:p>
            <w:pPr>
              <w:spacing w:after="0"/>
              <w:rPr>
                <w:sz w:val="19"/>
                <w:szCs w:val="19"/>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0.48</w:t>
            </w:r>
          </w:p>
        </w:tc>
      </w:tr>
      <w:tr>
        <w:trPr>
          <w:trHeight w:val="219"/>
        </w:trPr>
        <w:tc>
          <w:tcPr>
            <w:tcW w:w="40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Diluted</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0.43</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4" w:lineRule="exact"/>
        <w:rPr>
          <w:sz w:val="20"/>
          <w:szCs w:val="20"/>
          <w:color w:val="auto"/>
        </w:rPr>
      </w:pPr>
    </w:p>
    <w:p>
      <w:pPr>
        <w:ind w:left="460" w:hanging="457"/>
        <w:spacing w:after="0" w:line="252" w:lineRule="auto"/>
        <w:tabs>
          <w:tab w:leader="none" w:pos="453"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Measures</w:t>
      </w:r>
      <w:r>
        <w:rPr>
          <w:rFonts w:ascii="Arial" w:cs="Arial" w:eastAsia="Arial" w:hAnsi="Arial"/>
          <w:sz w:val="14"/>
          <w:szCs w:val="14"/>
          <w:color w:val="auto"/>
        </w:rPr>
        <w:t>” for further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Volume</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can also be driven by borrower acceptance rates and their sensitivity to the interest rates offered through our platform. We believe these metrics are good proxies for our overall scale and reach as a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Rate</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However, our Conversion Rate can be impacted by a variety of internal factors such as changes in the amount of origination fees that we charge or changes in the rate of returns we target for our bank partners and loan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Percentage of Loans Fully Automated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may cause fluctuations of such percentage from quarter to quarter depending on the loan offering mix and other external factors.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calculation of Contribution Profit and Contribution Margin: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center"/>
              <w:ind w:left="594"/>
              <w:spacing w:after="0"/>
              <w:rPr>
                <w:sz w:val="20"/>
                <w:szCs w:val="20"/>
                <w:color w:val="auto"/>
              </w:rPr>
            </w:pPr>
            <w:r>
              <w:rPr>
                <w:rFonts w:ascii="Arial" w:cs="Arial" w:eastAsia="Arial" w:hAnsi="Arial"/>
                <w:sz w:val="17"/>
                <w:szCs w:val="17"/>
                <w:b w:val="1"/>
                <w:bCs w:val="1"/>
                <w:color w:val="auto"/>
                <w:w w:val="92"/>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4"/>
          </w:tcPr>
          <w:p>
            <w:pPr>
              <w:jc w:val="center"/>
              <w:ind w:right="294"/>
              <w:spacing w:after="0"/>
              <w:rPr>
                <w:sz w:val="20"/>
                <w:szCs w:val="20"/>
                <w:color w:val="auto"/>
              </w:rPr>
            </w:pPr>
            <w:r>
              <w:rPr>
                <w:rFonts w:ascii="Arial" w:cs="Arial" w:eastAsia="Arial" w:hAnsi="Arial"/>
                <w:sz w:val="17"/>
                <w:szCs w:val="17"/>
                <w:b w:val="1"/>
                <w:bCs w:val="1"/>
                <w:color w:val="auto"/>
                <w:w w:val="93"/>
              </w:rPr>
              <w:t>Nine Months Ended</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7"/>
                <w:szCs w:val="17"/>
                <w:b w:val="1"/>
                <w:bCs w:val="1"/>
                <w:color w:val="auto"/>
                <w:w w:val="89"/>
              </w:rPr>
              <w:t>September 30,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7"/>
                <w:szCs w:val="17"/>
                <w:b w:val="1"/>
                <w:bCs w:val="1"/>
                <w:color w:val="auto"/>
                <w:w w:val="89"/>
              </w:rPr>
              <w:t>September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right"/>
              <w:ind w:right="674"/>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210,421</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179,348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513,888</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751,675</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line="212" w:lineRule="exact"/>
              <w:rPr>
                <w:sz w:val="20"/>
                <w:szCs w:val="20"/>
                <w:color w:val="auto"/>
              </w:rPr>
            </w:pPr>
            <w:r>
              <w:rPr>
                <w:rFonts w:ascii="Arial" w:cs="Arial" w:eastAsia="Arial" w:hAnsi="Arial"/>
                <w:sz w:val="17"/>
                <w:szCs w:val="17"/>
                <w:color w:val="auto"/>
              </w:rPr>
              <w:t>Borrower acquisition costs</w:t>
            </w:r>
            <w:r>
              <w:rPr>
                <w:rFonts w:ascii="Arial" w:cs="Arial" w:eastAsia="Arial" w:hAnsi="Arial"/>
                <w:sz w:val="22"/>
                <w:szCs w:val="22"/>
                <w:color w:val="auto"/>
                <w:vertAlign w:val="superscript"/>
              </w:rPr>
              <w:t>(1)</w:t>
            </w:r>
          </w:p>
        </w:tc>
        <w:tc>
          <w:tcPr>
            <w:tcW w:w="420" w:type="dxa"/>
            <w:vAlign w:val="bottom"/>
          </w:tcPr>
          <w:p>
            <w:pPr>
              <w:spacing w:after="0"/>
              <w:rPr>
                <w:sz w:val="18"/>
                <w:szCs w:val="18"/>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(87,107)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(46,014)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7"/>
                <w:szCs w:val="17"/>
                <w:color w:val="auto"/>
              </w:rPr>
              <w:t>(204,162)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(263,113)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Borrower verification and servicing costs</w:t>
            </w:r>
            <w:r>
              <w:rPr>
                <w:rFonts w:ascii="Arial" w:cs="Arial" w:eastAsia="Arial" w:hAnsi="Arial"/>
                <w:sz w:val="22"/>
                <w:szCs w:val="22"/>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(27,401)</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(37,322)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(61,329)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(123,779)</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direct expenses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(114,508)</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(83,336)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(265,491)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(386,892)</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Contribution Profit</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95,913</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96,012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248,397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364,783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46 %</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48 %</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92"/>
        </w:trPr>
        <w:tc>
          <w:tcPr>
            <w:tcW w:w="3860" w:type="dxa"/>
            <w:vAlign w:val="bottom"/>
          </w:tcPr>
          <w:p>
            <w:pPr>
              <w:spacing w:after="0"/>
              <w:rPr>
                <w:sz w:val="20"/>
                <w:szCs w:val="20"/>
                <w:color w:val="auto"/>
              </w:rPr>
            </w:pPr>
            <w:r>
              <w:rPr>
                <w:rFonts w:ascii="Arial" w:cs="Arial" w:eastAsia="Arial" w:hAnsi="Arial"/>
                <w:sz w:val="17"/>
                <w:szCs w:val="17"/>
                <w:color w:val="auto"/>
              </w:rPr>
              <w:t>_______</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7"/>
        <w:spacing w:after="0" w:line="236" w:lineRule="auto"/>
        <w:tabs>
          <w:tab w:leader="none" w:pos="453" w:val="left"/>
        </w:tabs>
        <w:numPr>
          <w:ilvl w:val="0"/>
          <w:numId w:val="23"/>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460" w:hanging="457"/>
        <w:spacing w:after="0" w:line="254" w:lineRule="auto"/>
        <w:tabs>
          <w:tab w:leader="none" w:pos="453" w:val="left"/>
        </w:tabs>
        <w:numPr>
          <w:ilvl w:val="0"/>
          <w:numId w:val="23"/>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Management’s Discussion and Analysis of Financial Condition and Results of Operations—Reconciliation of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w:t>
      </w:r>
      <w:r>
        <w:rPr>
          <w:rFonts w:ascii="Arial" w:cs="Arial" w:eastAsia="Arial" w:hAnsi="Arial"/>
          <w:sz w:val="17"/>
          <w:szCs w:val="17"/>
          <w:color w:val="auto"/>
        </w:rPr>
        <w:t>” for a reconciliation of income from operations to Contribution Profit.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calculate Adjusted EBITDA as net income (loss) adjusted to exclude stock-based compensation expense and certain payroll tax expenses, depreciation and amortization, expense on convertible notes, provision for income taxes and acquisition-related costs.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Operations—Reconciliation of Non-GAAP Financial Measures</w:t>
      </w:r>
      <w:r>
        <w:rPr>
          <w:rFonts w:ascii="Arial" w:cs="Arial" w:eastAsia="Arial" w:hAnsi="Arial"/>
          <w:sz w:val="17"/>
          <w:szCs w:val="17"/>
          <w:color w:val="auto"/>
        </w:rPr>
        <w:t>” for a reconciliation of net income (loss) to Adjusted EBITDA and</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define Adjusted Net Income (Loss) as net income (loss) exclusive of stock-based compensation expense and certain payroll tax expenses and acquisition-related costs. Adjusted Net Income (Loss) Per Share is calculated by dividing Adjusted Net Income (Loss) Per Share by the weighted-average common shares outstanding. See the section titled “</w:t>
      </w:r>
      <w:r>
        <w:rPr>
          <w:rFonts w:ascii="Arial" w:cs="Arial" w:eastAsia="Arial" w:hAnsi="Arial"/>
          <w:sz w:val="16"/>
          <w:szCs w:val="16"/>
          <w:i w:val="1"/>
          <w:iCs w:val="1"/>
          <w:color w:val="auto"/>
        </w:rPr>
        <w:t>Management’s Discussion and Analysis of Financial Condition and Results of Operations—Reconciliation of 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for a reconciliation of net income (loss) to Adjusted Net Income (Loss) and Adjusted Net Income (Loss)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Platform and Referral Fees, Net</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charge our bank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condensed consolidated financial statements in Part I, Item 1 of this Quarterly Report on Form 10-Q for more information about loan premium fees and trailing fees.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Servicing and Other Fees, Net</w:t>
      </w:r>
    </w:p>
    <w:p>
      <w:pPr>
        <w:spacing w:after="0" w:line="114"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income from our capital market programs and realized gain (loss)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 parties providing borrower referrals, direct mail and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increase in absolute dollars and may fluctuate as a percentage of our total revenue from period to period as we hire additional sales and marketing personnel, increase our marketing activities and build greater brand awareness.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Operations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Engineering and Product Development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Administrative and Other</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income (expense) primarily consists of a voluntary repayment during the nine months ended September 30, 2021 of funds received under the Paycheck Protection Program. During the nine months ended September 30, 2022 other income (expense) primarily consists of dividend income, interest expense on our convertible notes, charitable donations, and government grants.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historical 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8"/>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6"/>
          </w:tcPr>
          <w:p>
            <w:pPr>
              <w:jc w:val="right"/>
              <w:ind w:right="81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7"/>
                <w:szCs w:val="17"/>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Revenue from fees, net</w:t>
            </w: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210,421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179,348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513,888</w:t>
            </w:r>
          </w:p>
        </w:tc>
        <w:tc>
          <w:tcPr>
            <w:tcW w:w="40" w:type="dxa"/>
            <w:vAlign w:val="bottom"/>
          </w:tcPr>
          <w:p>
            <w:pPr>
              <w:spacing w:after="0"/>
              <w:rPr>
                <w:sz w:val="18"/>
                <w:szCs w:val="18"/>
                <w:color w:val="auto"/>
              </w:rPr>
            </w:pPr>
          </w:p>
        </w:tc>
        <w:tc>
          <w:tcPr>
            <w:tcW w:w="64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751,675</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 and fair value adjustments, net</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(56,144)</w:t>
            </w:r>
          </w:p>
        </w:tc>
        <w:tc>
          <w:tcPr>
            <w:tcW w:w="0" w:type="dxa"/>
            <w:vAlign w:val="bottom"/>
          </w:tcPr>
          <w:p>
            <w:pPr>
              <w:spacing w:after="0"/>
              <w:rPr>
                <w:sz w:val="1"/>
                <w:szCs w:val="1"/>
                <w:color w:val="auto"/>
              </w:rPr>
            </w:pPr>
          </w:p>
        </w:tc>
      </w:tr>
      <w:tr>
        <w:trPr>
          <w:trHeight w:val="211"/>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revenue</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228,450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157,233</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543,741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695,531</w:t>
            </w:r>
          </w:p>
        </w:tc>
        <w:tc>
          <w:tcPr>
            <w:tcW w:w="0" w:type="dxa"/>
            <w:vAlign w:val="bottom"/>
          </w:tcPr>
          <w:p>
            <w:pPr>
              <w:spacing w:after="0"/>
              <w:rPr>
                <w:sz w:val="1"/>
                <w:szCs w:val="1"/>
                <w:color w:val="auto"/>
              </w:rPr>
            </w:pPr>
          </w:p>
        </w:tc>
      </w:tr>
      <w:tr>
        <w:trPr>
          <w:trHeight w:val="200"/>
        </w:trPr>
        <w:tc>
          <w:tcPr>
            <w:tcW w:w="39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Sales and marketing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56,362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218,638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295,023</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operations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45,028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144,507</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Engineering and product development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37,085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66,182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87,504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173,218</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General, administrative, and other</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47,752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80,602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138,148</w:t>
            </w:r>
          </w:p>
        </w:tc>
        <w:tc>
          <w:tcPr>
            <w:tcW w:w="0" w:type="dxa"/>
            <w:vAlign w:val="bottom"/>
          </w:tcPr>
          <w:p>
            <w:pPr>
              <w:spacing w:after="0"/>
              <w:rPr>
                <w:sz w:val="1"/>
                <w:szCs w:val="1"/>
                <w:color w:val="auto"/>
              </w:rPr>
            </w:pPr>
          </w:p>
        </w:tc>
      </w:tr>
      <w:tr>
        <w:trPr>
          <w:trHeight w:val="211"/>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operating expenses</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215,324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463,274</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750,896</w:t>
            </w:r>
          </w:p>
        </w:tc>
        <w:tc>
          <w:tcPr>
            <w:tcW w:w="0" w:type="dxa"/>
            <w:vAlign w:val="bottom"/>
          </w:tcPr>
          <w:p>
            <w:pPr>
              <w:spacing w:after="0"/>
              <w:rPr>
                <w:sz w:val="1"/>
                <w:szCs w:val="1"/>
                <w:color w:val="auto"/>
              </w:rPr>
            </w:pPr>
          </w:p>
        </w:tc>
      </w:tr>
      <w:tr>
        <w:trPr>
          <w:trHeight w:val="21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(55,365)</w:t>
            </w:r>
          </w:p>
        </w:tc>
        <w:tc>
          <w:tcPr>
            <w:tcW w:w="0" w:type="dxa"/>
            <w:vAlign w:val="bottom"/>
          </w:tcPr>
          <w:p>
            <w:pPr>
              <w:spacing w:after="0"/>
              <w:rPr>
                <w:sz w:val="1"/>
                <w:szCs w:val="1"/>
                <w:color w:val="auto"/>
              </w:rPr>
            </w:pPr>
          </w:p>
        </w:tc>
      </w:tr>
      <w:tr>
        <w:trPr>
          <w:trHeight w:val="218"/>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7"/>
                <w:szCs w:val="17"/>
                <w:color w:val="auto"/>
              </w:rPr>
              <w:t>1,880 1,880</w:t>
            </w:r>
          </w:p>
        </w:tc>
        <w:tc>
          <w:tcPr>
            <w:tcW w:w="320" w:type="dxa"/>
            <w:vAlign w:val="bottom"/>
          </w:tcPr>
          <w:p>
            <w:pPr>
              <w:spacing w:after="0"/>
              <w:rPr>
                <w:sz w:val="18"/>
                <w:szCs w:val="18"/>
                <w:color w:val="auto"/>
              </w:rPr>
            </w:pPr>
          </w:p>
        </w:tc>
        <w:tc>
          <w:tcPr>
            <w:tcW w:w="1260" w:type="dxa"/>
            <w:vAlign w:val="bottom"/>
            <w:gridSpan w:val="2"/>
          </w:tcPr>
          <w:p>
            <w:pPr>
              <w:ind w:left="740"/>
              <w:spacing w:after="0"/>
              <w:rPr>
                <w:sz w:val="20"/>
                <w:szCs w:val="20"/>
                <w:color w:val="auto"/>
              </w:rPr>
            </w:pPr>
            <w:r>
              <w:rPr>
                <w:rFonts w:ascii="Arial" w:cs="Arial" w:eastAsia="Arial" w:hAnsi="Arial"/>
                <w:sz w:val="17"/>
                <w:szCs w:val="17"/>
                <w:color w:val="auto"/>
                <w:w w:val="92"/>
              </w:rPr>
              <w:t>(6,003)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r>
        <w:trPr>
          <w:trHeight w:val="213"/>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27,845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(56,211)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74,464</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(53,347)</w:t>
            </w:r>
          </w:p>
        </w:tc>
        <w:tc>
          <w:tcPr>
            <w:tcW w:w="0" w:type="dxa"/>
            <w:vAlign w:val="bottom"/>
          </w:tcPr>
          <w:p>
            <w:pPr>
              <w:spacing w:after="0"/>
              <w:rPr>
                <w:sz w:val="1"/>
                <w:szCs w:val="1"/>
                <w:color w:val="auto"/>
              </w:rPr>
            </w:pPr>
          </w:p>
        </w:tc>
      </w:tr>
      <w:tr>
        <w:trPr>
          <w:trHeight w:val="218"/>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(Benefit) provision for income taxes</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740"/>
              <w:spacing w:after="0"/>
              <w:rPr>
                <w:sz w:val="20"/>
                <w:szCs w:val="20"/>
                <w:color w:val="auto"/>
              </w:rPr>
            </w:pPr>
            <w:r>
              <w:rPr>
                <w:rFonts w:ascii="Arial" w:cs="Arial" w:eastAsia="Arial" w:hAnsi="Arial"/>
                <w:sz w:val="17"/>
                <w:szCs w:val="17"/>
                <w:color w:val="auto"/>
                <w:w w:val="92"/>
              </w:rPr>
              <w:t>(2,035)</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76,499</w:t>
            </w:r>
          </w:p>
        </w:tc>
        <w:tc>
          <w:tcPr>
            <w:tcW w:w="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3700" w:type="dxa"/>
            <w:vAlign w:val="bottom"/>
          </w:tcPr>
          <w:p>
            <w:pPr>
              <w:ind w:left="220"/>
              <w:spacing w:after="0"/>
              <w:rPr>
                <w:sz w:val="20"/>
                <w:szCs w:val="20"/>
                <w:color w:val="auto"/>
              </w:rPr>
            </w:pPr>
            <w:r>
              <w:rPr>
                <w:rFonts w:ascii="Arial" w:cs="Arial" w:eastAsia="Arial" w:hAnsi="Arial"/>
                <w:sz w:val="14"/>
                <w:szCs w:val="14"/>
                <w:color w:val="auto"/>
                <w:w w:val="99"/>
              </w:rPr>
              <w:t>Includes stock-based compensation expense as follows: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jc w:val="right"/>
              <w:ind w:right="85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gridSpan w:val="8"/>
          </w:tcPr>
          <w:p>
            <w:pPr>
              <w:ind w:left="200"/>
              <w:spacing w:after="0"/>
              <w:rPr>
                <w:sz w:val="20"/>
                <w:szCs w:val="20"/>
                <w:color w:val="auto"/>
              </w:rPr>
            </w:pPr>
            <w:r>
              <w:rPr>
                <w:rFonts w:ascii="Arial" w:cs="Arial" w:eastAsia="Arial" w:hAnsi="Arial"/>
                <w:sz w:val="17"/>
                <w:szCs w:val="17"/>
                <w:b w:val="1"/>
                <w:bCs w:val="1"/>
                <w:color w:val="auto"/>
              </w:rPr>
              <w:t>Three Months Ended September 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00" w:type="dxa"/>
            <w:vAlign w:val="bottom"/>
            <w:gridSpan w:val="5"/>
          </w:tcPr>
          <w:p>
            <w:pPr>
              <w:ind w:left="740"/>
              <w:spacing w:after="0"/>
              <w:rPr>
                <w:sz w:val="20"/>
                <w:szCs w:val="20"/>
                <w:color w:val="auto"/>
              </w:rPr>
            </w:pPr>
            <w:r>
              <w:rPr>
                <w:rFonts w:ascii="Arial" w:cs="Arial" w:eastAsia="Arial" w:hAnsi="Arial"/>
                <w:sz w:val="17"/>
                <w:szCs w:val="17"/>
                <w:b w:val="1"/>
                <w:bCs w:val="1"/>
                <w:color w:val="auto"/>
                <w:w w:val="98"/>
              </w:rPr>
              <w:t>September 30,</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Customer operations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2,682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6,386</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10,273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27,052</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53,254</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General, administrative, and other</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6,335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9,220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14,808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24,505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20,317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36,656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50,125</w:t>
            </w:r>
          </w:p>
        </w:tc>
        <w:tc>
          <w:tcPr>
            <w:tcW w:w="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 forth our revenue from fees, net in the periods shown: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33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37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September 30,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September 30,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8"/>
              </w:rPr>
              <w:t>Platform and referral fees,</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1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34"/>
              <w:spacing w:after="0"/>
              <w:rPr>
                <w:sz w:val="20"/>
                <w:szCs w:val="20"/>
                <w:color w:val="auto"/>
              </w:rPr>
            </w:pPr>
            <w:r>
              <w:rPr>
                <w:rFonts w:ascii="Arial" w:cs="Arial" w:eastAsia="Arial" w:hAnsi="Arial"/>
                <w:sz w:val="17"/>
                <w:szCs w:val="17"/>
                <w:color w:val="auto"/>
                <w:w w:val="94"/>
              </w:rPr>
              <w:t>(56,656)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467,476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168"/>
        </w:trPr>
        <w:tc>
          <w:tcPr>
            <w:tcW w:w="1980" w:type="dxa"/>
            <w:vAlign w:val="bottom"/>
          </w:tcPr>
          <w:p>
            <w:pPr>
              <w:ind w:left="20"/>
              <w:spacing w:after="0" w:line="168" w:lineRule="exact"/>
              <w:rPr>
                <w:sz w:val="20"/>
                <w:szCs w:val="20"/>
                <w:color w:val="auto"/>
              </w:rPr>
            </w:pPr>
            <w:r>
              <w:rPr>
                <w:rFonts w:ascii="Arial" w:cs="Arial" w:eastAsia="Arial" w:hAnsi="Arial"/>
                <w:sz w:val="17"/>
                <w:szCs w:val="17"/>
                <w:color w:val="auto"/>
              </w:rPr>
              <w:t>Servicing and other fees,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center"/>
              <w:ind w:left="74"/>
              <w:spacing w:after="0"/>
              <w:rPr>
                <w:sz w:val="20"/>
                <w:szCs w:val="20"/>
                <w:color w:val="auto"/>
              </w:rPr>
            </w:pPr>
            <w:r>
              <w:rPr>
                <w:rFonts w:ascii="Arial" w:cs="Arial" w:eastAsia="Arial" w:hAnsi="Arial"/>
                <w:sz w:val="17"/>
                <w:szCs w:val="17"/>
                <w:color w:val="auto"/>
                <w:w w:val="92"/>
              </w:rPr>
              <w:t>25,583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87,055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44,562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135 %</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46,412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133,467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188 %</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4"/>
              </w:rPr>
              <w:t>Total revenue from fees,</w:t>
            </w: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210,421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179,348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513,888</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751,675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7"/>
                <w:szCs w:val="17"/>
                <w:color w:val="auto"/>
                <w:w w:val="94"/>
              </w:rPr>
              <w:t>(31,073)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237,787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Revenue from fees, net decreased $31.1 million, or 15%, in the three months ended September 30, 2022, compared to the same period in 2021, which included a decrease of $56.7 million in revenue from platform and referral fees, net and an increase of $25.6 million in servicing fees, net. The decrease of the platform and referral fees, net was primarily driven by a 48% decrease in the Transaction Volume, Number of Loans from 362,780 in the three months ended September 30, 2021 to 188,519 in the same period in 2022. The increase in the servicing fees, net was primarily due to a 60% increase in the outstanding principal of serviced loans.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Revenue from fees, net increased $237.8 million, or 46%, in the nine months ended September 30, 2022, compared to the same period in 2021, which included an increase of $150.7 million in revenue from platform and referral fees, net and an increase of $87.1 million in servicing fees, net. The increase of the platform and referral fees, net was primarily driven by a 19% increase in the Transaction Volume, Number of Loans from 819,386 in the nine months ended September 30, 2021 to 975,194 in the same period in 2022 as well as an increase in prices of our services. The increase in the servicing fees, net was primarily due to a 90% increase in the outstanding principal of serviced loans.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gridSpan w:val="5"/>
          </w:tcPr>
          <w:p>
            <w:pPr>
              <w:spacing w:after="0"/>
              <w:rPr>
                <w:sz w:val="20"/>
                <w:szCs w:val="20"/>
                <w:color w:val="auto"/>
              </w:rPr>
            </w:pPr>
            <w:r>
              <w:rPr>
                <w:rFonts w:ascii="Arial" w:cs="Arial" w:eastAsia="Arial" w:hAnsi="Arial"/>
                <w:sz w:val="17"/>
                <w:szCs w:val="17"/>
                <w:b w:val="1"/>
                <w:bCs w:val="1"/>
                <w:i w:val="1"/>
                <w:iCs w:val="1"/>
                <w:color w:val="auto"/>
                <w:w w:val="90"/>
              </w:rPr>
              <w:t>Interest Income and Fair Value Adjustments,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29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4"/>
              <w:spacing w:after="0"/>
              <w:rPr>
                <w:sz w:val="20"/>
                <w:szCs w:val="20"/>
                <w:color w:val="auto"/>
              </w:rPr>
            </w:pPr>
            <w:r>
              <w:rPr>
                <w:rFonts w:ascii="Arial" w:cs="Arial" w:eastAsia="Arial" w:hAnsi="Arial"/>
                <w:sz w:val="17"/>
                <w:szCs w:val="17"/>
                <w:b w:val="1"/>
                <w:bCs w:val="1"/>
                <w:color w:val="auto"/>
                <w:w w:val="93"/>
              </w:rPr>
              <w:t>Nine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7"/>
                <w:szCs w:val="17"/>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540"/>
              <w:spacing w:after="0"/>
              <w:rPr>
                <w:sz w:val="20"/>
                <w:szCs w:val="20"/>
                <w:color w:val="auto"/>
              </w:rPr>
            </w:pPr>
            <w:r>
              <w:rPr>
                <w:rFonts w:ascii="Arial" w:cs="Arial" w:eastAsia="Arial" w:hAnsi="Arial"/>
                <w:sz w:val="17"/>
                <w:szCs w:val="17"/>
                <w:b w:val="1"/>
                <w:bCs w:val="1"/>
                <w:color w:val="auto"/>
                <w:w w:val="96"/>
              </w:rPr>
              <w:t>Change</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54"/>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580"/>
              <w:spacing w:after="0"/>
              <w:rPr>
                <w:sz w:val="20"/>
                <w:szCs w:val="20"/>
                <w:color w:val="auto"/>
              </w:rPr>
            </w:pPr>
            <w:r>
              <w:rPr>
                <w:rFonts w:ascii="Arial" w:cs="Arial" w:eastAsia="Arial" w:hAnsi="Arial"/>
                <w:sz w:val="17"/>
                <w:szCs w:val="17"/>
                <w:b w:val="1"/>
                <w:bCs w:val="1"/>
                <w:color w:val="auto"/>
              </w:rPr>
              <w:t>Change</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9"/>
              </w:rPr>
              <w:t>12,020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66,288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54,268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451 %</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8"/>
              </w:rPr>
              <w:t>(1,034)%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360"/>
              <w:spacing w:after="0"/>
              <w:rPr>
                <w:sz w:val="20"/>
                <w:szCs w:val="20"/>
                <w:color w:val="auto"/>
              </w:rPr>
            </w:pPr>
            <w:r>
              <w:rPr>
                <w:rFonts w:ascii="Arial" w:cs="Arial" w:eastAsia="Arial" w:hAnsi="Arial"/>
                <w:sz w:val="17"/>
                <w:szCs w:val="17"/>
                <w:color w:val="auto"/>
                <w:w w:val="92"/>
              </w:rPr>
              <w:t>(2,796)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(3,526)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w w:val="99"/>
              </w:rPr>
              <w:t>20,629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8" w:lineRule="exact"/>
              <w:rPr>
                <w:sz w:val="20"/>
                <w:szCs w:val="20"/>
                <w:color w:val="auto"/>
              </w:rPr>
            </w:pPr>
            <w:r>
              <w:rPr>
                <w:rFonts w:ascii="Arial" w:cs="Arial" w:eastAsia="Arial" w:hAnsi="Arial"/>
                <w:sz w:val="17"/>
                <w:szCs w:val="17"/>
                <w:color w:val="auto"/>
              </w:rPr>
              <w:t>Total interest income and</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18,029</w:t>
            </w:r>
          </w:p>
        </w:tc>
        <w:tc>
          <w:tcPr>
            <w:tcW w:w="10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(22,115)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ind w:left="340"/>
              <w:spacing w:after="0"/>
              <w:rPr>
                <w:sz w:val="20"/>
                <w:szCs w:val="20"/>
                <w:color w:val="auto"/>
              </w:rPr>
            </w:pPr>
            <w:r>
              <w:rPr>
                <w:rFonts w:ascii="Arial" w:cs="Arial" w:eastAsia="Arial" w:hAnsi="Arial"/>
                <w:sz w:val="17"/>
                <w:szCs w:val="17"/>
                <w:color w:val="auto"/>
                <w:w w:val="99"/>
              </w:rPr>
              <w:t>29,853</w:t>
            </w:r>
          </w:p>
        </w:tc>
        <w:tc>
          <w:tcPr>
            <w:tcW w:w="100" w:type="dxa"/>
            <w:vAlign w:val="bottom"/>
          </w:tcPr>
          <w:p>
            <w:pPr>
              <w:spacing w:after="0"/>
              <w:rPr>
                <w:sz w:val="12"/>
                <w:szCs w:val="12"/>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(56,144)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Arial" w:cs="Arial" w:eastAsia="Arial" w:hAnsi="Arial"/>
                <w:sz w:val="17"/>
                <w:szCs w:val="17"/>
                <w:color w:val="auto"/>
                <w:w w:val="98"/>
              </w:rPr>
              <w:t>fair value adjustments, net</w:t>
            </w: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(40,144)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(85,997)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Interest income and fair value adjustments, net decreased $40.1 million, or 223% in the three months ended September 30, 2022, compared to the same period in 2021. The decrease was primarily driven by a $54.5 million decrease in fair value adjustments, partially offset by a $17.1 million increase in interest income due to an increase in the outstanding principal balance of loans held on the condensed consolidated balance sheets. The negative fair value adjustments were primarily attributable to a $21.1 million unfavorable change in the fair value of our loan portfolio and $21.1 million of realized loss on loan sales during the three months ended September 30, 2022, primarily due to the rising interest rate environment and higher delinquency rates.</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Interest income and fair value adjustments, net decreased $86.0 million, or 288% in the nine months ended September 30, 2022, compared to the same period in 2021. The decrease was primarily driven by a $136.7 million decrease in fair value adjustments, partially offset by a $54.3 million increase in interest income due to an increase in unpaid principal balance of loans held on the condensed consolidated balance sheets. The decrease in fair value adjustments was primarily attributable to a $45.3 million loss on loan sales during the nine months ended September 30, 2022; and an unfavorable change in the fair value of our loan portfolio of $73.4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8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09"/>
        </w:trPr>
        <w:tc>
          <w:tcPr>
            <w:tcW w:w="188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5"/>
        </w:trPr>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2"/>
              </w:rPr>
              <w:t>Three Months Ended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3"/>
              </w:rPr>
              <w:t>Nine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1"/>
        </w:trPr>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9"/>
              </w:rPr>
              <w:t>September 30,</w:t>
            </w:r>
          </w:p>
        </w:tc>
        <w:tc>
          <w:tcPr>
            <w:tcW w:w="240" w:type="dxa"/>
            <w:vAlign w:val="bottom"/>
          </w:tcPr>
          <w:p>
            <w:pPr>
              <w:spacing w:after="0"/>
              <w:rPr>
                <w:sz w:val="20"/>
                <w:szCs w:val="20"/>
                <w:color w:val="auto"/>
              </w:rPr>
            </w:pPr>
          </w:p>
        </w:tc>
        <w:tc>
          <w:tcPr>
            <w:tcW w:w="1020" w:type="dxa"/>
            <w:vAlign w:val="bottom"/>
            <w:gridSpan w:val="3"/>
          </w:tcPr>
          <w:p>
            <w:pPr>
              <w:ind w:left="440"/>
              <w:spacing w:after="0"/>
              <w:rPr>
                <w:sz w:val="20"/>
                <w:szCs w:val="20"/>
                <w:color w:val="auto"/>
              </w:rPr>
            </w:pPr>
            <w:r>
              <w:rPr>
                <w:rFonts w:ascii="Arial" w:cs="Arial" w:eastAsia="Arial" w:hAnsi="Arial"/>
                <w:sz w:val="17"/>
                <w:szCs w:val="17"/>
                <w:b w:val="1"/>
                <w:bCs w:val="1"/>
                <w:color w:val="auto"/>
                <w:w w:val="89"/>
              </w:rPr>
              <w:t>Change</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9"/>
              </w:rPr>
              <w:t>September 30,</w:t>
            </w:r>
          </w:p>
        </w:tc>
        <w:tc>
          <w:tcPr>
            <w:tcW w:w="28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7"/>
                <w:szCs w:val="17"/>
                <w:b w:val="1"/>
                <w:bCs w:val="1"/>
                <w:color w:val="auto"/>
              </w:rPr>
              <w:t>Change</w:t>
            </w:r>
          </w:p>
        </w:tc>
        <w:tc>
          <w:tcPr>
            <w:tcW w:w="640" w:type="dxa"/>
            <w:vAlign w:val="bottom"/>
          </w:tcPr>
          <w:p>
            <w:pPr>
              <w:spacing w:after="0"/>
              <w:rPr>
                <w:sz w:val="20"/>
                <w:szCs w:val="20"/>
                <w:color w:val="auto"/>
              </w:rPr>
            </w:pPr>
          </w:p>
        </w:tc>
      </w:tr>
      <w:tr>
        <w:trPr>
          <w:trHeight w:val="251"/>
        </w:trPr>
        <w:tc>
          <w:tcPr>
            <w:tcW w:w="18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r>
      <w:tr>
        <w:trPr>
          <w:trHeight w:val="213"/>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93,346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56,362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2"/>
              </w:rPr>
              <w:t>(40)%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218,638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295,023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76,385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18"/>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41 %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36 %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i w:val="1"/>
                <w:iCs w:val="1"/>
                <w:color w:val="auto"/>
              </w:rPr>
              <w:t>40 %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i w:val="1"/>
                <w:iCs w:val="1"/>
                <w:color w:val="auto"/>
              </w:rPr>
              <w:t>42 %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311"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Sales and marketing expenses decreased by $37.0 million, or 40%, in the three months ended September 30, 2022 compared to the same period in 2021. The decrease was primarily due to a $40.3 million decrease in advertising and other traffic acquisition cost, partially offset by a $3.4 million increase in payroll and other personnel-related expenses driven by increased headcount. As a percentage of total revenue, sales and marketing expenses decreased from 41% to 36%.</w:t>
      </w:r>
    </w:p>
    <w:p>
      <w:pPr>
        <w:spacing w:after="0" w:line="165"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Sales and marketing expenses increased by $76.4 million, or 35%, in the nine months ended September 30, 2022 compared to the same period in 2021. The increase was primarily due to a $59.7 million increase in advertising and other traffic acquisition cost, as well as a $12.7 million increase in payroll and other personnel-related expenses driven by increased headcount. As a percentage of total revenue, sales and marketing expenses increased from 40% to 42%.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20"/>
                <w:szCs w:val="20"/>
                <w:color w:val="auto"/>
              </w:rPr>
            </w:pPr>
            <w:r>
              <w:rPr>
                <w:rFonts w:ascii="Arial" w:cs="Arial" w:eastAsia="Arial" w:hAnsi="Arial"/>
                <w:sz w:val="17"/>
                <w:szCs w:val="17"/>
                <w:b w:val="1"/>
                <w:bCs w:val="1"/>
                <w:i w:val="1"/>
                <w:iCs w:val="1"/>
                <w:color w:val="auto"/>
              </w:rPr>
              <w:t>Customer Operations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01"/>
        </w:trPr>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3"/>
              </w:rPr>
              <w:t>Nine Months Ended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20"/>
                <w:szCs w:val="20"/>
                <w:color w:val="auto"/>
              </w:rPr>
            </w:pPr>
          </w:p>
        </w:tc>
        <w:tc>
          <w:tcPr>
            <w:tcW w:w="1020" w:type="dxa"/>
            <w:vAlign w:val="bottom"/>
            <w:gridSpan w:val="3"/>
          </w:tcPr>
          <w:p>
            <w:pPr>
              <w:ind w:left="400"/>
              <w:spacing w:after="0"/>
              <w:rPr>
                <w:sz w:val="20"/>
                <w:szCs w:val="20"/>
                <w:color w:val="auto"/>
              </w:rPr>
            </w:pPr>
            <w:r>
              <w:rPr>
                <w:rFonts w:ascii="Arial" w:cs="Arial" w:eastAsia="Arial" w:hAnsi="Arial"/>
                <w:sz w:val="17"/>
                <w:szCs w:val="17"/>
                <w:b w:val="1"/>
                <w:bCs w:val="1"/>
                <w:color w:val="auto"/>
                <w:w w:val="96"/>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89"/>
              </w:rPr>
              <w:t>September 30,</w:t>
            </w:r>
          </w:p>
        </w:tc>
        <w:tc>
          <w:tcPr>
            <w:tcW w:w="1280" w:type="dxa"/>
            <w:vAlign w:val="bottom"/>
            <w:gridSpan w:val="3"/>
          </w:tcPr>
          <w:p>
            <w:pPr>
              <w:ind w:left="680"/>
              <w:spacing w:after="0"/>
              <w:rPr>
                <w:sz w:val="20"/>
                <w:szCs w:val="20"/>
                <w:color w:val="auto"/>
              </w:rPr>
            </w:pPr>
            <w:r>
              <w:rPr>
                <w:rFonts w:ascii="Arial" w:cs="Arial" w:eastAsia="Arial" w:hAnsi="Arial"/>
                <w:sz w:val="17"/>
                <w:szCs w:val="17"/>
                <w:b w:val="1"/>
                <w:bCs w:val="1"/>
                <w:color w:val="auto"/>
                <w:w w:val="92"/>
              </w:rPr>
              <w:t>Change</w:t>
            </w:r>
          </w:p>
        </w:tc>
        <w:tc>
          <w:tcPr>
            <w:tcW w:w="640" w:type="dxa"/>
            <w:vAlign w:val="bottom"/>
          </w:tcPr>
          <w:p>
            <w:pPr>
              <w:spacing w:after="0"/>
              <w:rPr>
                <w:sz w:val="20"/>
                <w:szCs w:val="20"/>
                <w:color w:val="auto"/>
              </w:rPr>
            </w:pPr>
          </w:p>
        </w:tc>
      </w:tr>
      <w:tr>
        <w:trPr>
          <w:trHeight w:val="251"/>
        </w:trPr>
        <w:tc>
          <w:tcPr>
            <w:tcW w:w="19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r>
      <w:tr>
        <w:trPr>
          <w:trHeight w:val="213"/>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operations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34,978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45,028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10,050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9"/>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76,530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$144,507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$67,977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89%</w:t>
            </w: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29 %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14 %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i w:val="1"/>
                <w:iCs w:val="1"/>
                <w:color w:val="auto"/>
              </w:rPr>
              <w:t>21 %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526"/>
        <w:spacing w:after="0" w:line="251" w:lineRule="auto"/>
        <w:rPr>
          <w:sz w:val="20"/>
          <w:szCs w:val="20"/>
          <w:color w:val="auto"/>
        </w:rPr>
      </w:pPr>
      <w:r>
        <w:rPr>
          <w:rFonts w:ascii="Arial" w:cs="Arial" w:eastAsia="Arial" w:hAnsi="Arial"/>
          <w:sz w:val="17"/>
          <w:szCs w:val="17"/>
          <w:color w:val="auto"/>
        </w:rPr>
        <w:t>Customer operations expenses increased by $10.1 million, or 29%, in the three months ended September 30, 2022, compared to the same period in 2021. The increase was primarily due to a $7.4 million increase in payroll and other personnel-related expenses due to an increase in headcount as well as net increased spending of $1.3 million on information verification and platform operations. As a percentage of total revenue, customer operations expenses increased from 15% to 29%.</w:t>
      </w:r>
    </w:p>
    <w:p>
      <w:pPr>
        <w:spacing w:after="0" w:line="317" w:lineRule="exact"/>
        <w:rPr>
          <w:sz w:val="20"/>
          <w:szCs w:val="20"/>
          <w:color w:val="auto"/>
        </w:rPr>
      </w:pPr>
    </w:p>
    <w:p>
      <w:pPr>
        <w:jc w:val="both"/>
        <w:ind w:firstLine="526"/>
        <w:spacing w:after="0" w:line="251" w:lineRule="auto"/>
        <w:rPr>
          <w:sz w:val="20"/>
          <w:szCs w:val="20"/>
          <w:color w:val="auto"/>
        </w:rPr>
      </w:pPr>
      <w:r>
        <w:rPr>
          <w:rFonts w:ascii="Arial" w:cs="Arial" w:eastAsia="Arial" w:hAnsi="Arial"/>
          <w:sz w:val="17"/>
          <w:szCs w:val="17"/>
          <w:color w:val="auto"/>
        </w:rPr>
        <w:t>Customer operations expenses increased by $68.0 million, or 89%, in the nine months ended September 30, 2022, compared to the same period in 2021. The increase was primarily due to an increase of $43.9 million in payroll and other personnel-related expenses due to an increase in headcount as well as increased spending of $19.4 million on information verification and platform operations due to a growing volume of loans facilitated through our platform. As a percentage of total revenue, customer operations expenses increased from 14% to 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Engineering and Product Development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01"/>
        </w:trPr>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2"/>
              </w:rPr>
              <w:t>Three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Nine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Pr>
          <w:p>
            <w:pPr>
              <w:spacing w:after="0"/>
              <w:rPr>
                <w:sz w:val="20"/>
                <w:szCs w:val="20"/>
                <w:color w:val="auto"/>
              </w:rPr>
            </w:pPr>
          </w:p>
        </w:tc>
        <w:tc>
          <w:tcPr>
            <w:tcW w:w="1000" w:type="dxa"/>
            <w:vAlign w:val="bottom"/>
            <w:gridSpan w:val="3"/>
          </w:tcPr>
          <w:p>
            <w:pPr>
              <w:ind w:left="400"/>
              <w:spacing w:after="0"/>
              <w:rPr>
                <w:sz w:val="20"/>
                <w:szCs w:val="20"/>
                <w:color w:val="auto"/>
              </w:rPr>
            </w:pPr>
            <w:r>
              <w:rPr>
                <w:rFonts w:ascii="Arial" w:cs="Arial" w:eastAsia="Arial" w:hAnsi="Arial"/>
                <w:sz w:val="17"/>
                <w:szCs w:val="17"/>
                <w:b w:val="1"/>
                <w:bCs w:val="1"/>
                <w:color w:val="auto"/>
                <w:w w:val="92"/>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28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7"/>
                <w:szCs w:val="17"/>
                <w:b w:val="1"/>
                <w:bCs w:val="1"/>
                <w:color w:val="auto"/>
              </w:rPr>
              <w:t>Change</w:t>
            </w:r>
          </w:p>
        </w:tc>
        <w:tc>
          <w:tcPr>
            <w:tcW w:w="640" w:type="dxa"/>
            <w:vAlign w:val="bottom"/>
          </w:tcPr>
          <w:p>
            <w:pPr>
              <w:spacing w:after="0"/>
              <w:rPr>
                <w:sz w:val="20"/>
                <w:szCs w:val="20"/>
                <w:color w:val="auto"/>
              </w:rPr>
            </w:pPr>
          </w:p>
        </w:tc>
      </w:tr>
      <w:tr>
        <w:trPr>
          <w:trHeight w:val="251"/>
        </w:trPr>
        <w:tc>
          <w:tcPr>
            <w:tcW w:w="19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r>
      <w:tr>
        <w:trPr>
          <w:trHeight w:val="149"/>
        </w:trPr>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Engineering and product</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32"/>
        </w:trPr>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37,085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66,182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29,097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9"/>
              </w:rPr>
              <w:t>78%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87,504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173,218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85,714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18"/>
        </w:trPr>
        <w:tc>
          <w:tcPr>
            <w:tcW w:w="192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42 %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i w:val="1"/>
                <w:iCs w:val="1"/>
                <w:color w:val="auto"/>
              </w:rPr>
              <w:t>25 %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Engineering and product development expenses increased by $29.1 million, or 78%, for the three months ended September 30, 2022, compared to the same period in 2021. The increase was primarily due to an increase of $22.5 million in payroll and other personnel-related expenses driven by an increase in headcount, as well as increased spending of $6.1 million on engineering infrastructure, support services, and consultants. As a percentage of total revenue, engineering and product development expenses increased from 16% to 42%.</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Engineering and product development expenses increased by $85.7 million, or 98%, for the nine months ended September 30, 2022, compared to the same period in 2021. The increase was primarily due to an increase of $66.6 million in payroll and other personnel-related expenses driven by an increase in headcount, as well as increased spending of $17.8 million on engineering infrastructure, support services, and consultants. As a percentage of total revenue, engineering and product development expenses increased from 16% to 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General, Administrative, and Other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66"/>
        </w:trPr>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3"/>
              </w:rPr>
              <w:t>Nine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1"/>
        </w:trPr>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1"/>
              </w:rPr>
              <w:t>September 30,</w:t>
            </w:r>
          </w:p>
        </w:tc>
        <w:tc>
          <w:tcPr>
            <w:tcW w:w="26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Arial" w:cs="Arial" w:eastAsia="Arial" w:hAnsi="Arial"/>
                <w:sz w:val="17"/>
                <w:szCs w:val="17"/>
                <w:b w:val="1"/>
                <w:bCs w:val="1"/>
                <w:color w:val="auto"/>
                <w:w w:val="99"/>
              </w:rPr>
              <w:t>Change</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9"/>
              </w:rPr>
              <w:t>September 30,</w:t>
            </w:r>
          </w:p>
        </w:tc>
        <w:tc>
          <w:tcPr>
            <w:tcW w:w="28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Arial" w:cs="Arial" w:eastAsia="Arial" w:hAnsi="Arial"/>
                <w:sz w:val="17"/>
                <w:szCs w:val="17"/>
                <w:b w:val="1"/>
                <w:bCs w:val="1"/>
                <w:color w:val="auto"/>
                <w:w w:val="99"/>
              </w:rPr>
              <w:t>Change</w:t>
            </w:r>
          </w:p>
        </w:tc>
        <w:tc>
          <w:tcPr>
            <w:tcW w:w="640" w:type="dxa"/>
            <w:vAlign w:val="bottom"/>
          </w:tcPr>
          <w:p>
            <w:pPr>
              <w:spacing w:after="0"/>
              <w:rPr>
                <w:sz w:val="20"/>
                <w:szCs w:val="20"/>
                <w:color w:val="auto"/>
              </w:rPr>
            </w:pPr>
          </w:p>
        </w:tc>
      </w:tr>
      <w:tr>
        <w:trPr>
          <w:trHeight w:val="251"/>
        </w:trPr>
        <w:tc>
          <w:tcPr>
            <w:tcW w:w="19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General, administrative,</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232"/>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other</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34,442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47,752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13,310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39 %  $</w:t>
            </w: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80,602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138,148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57,546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30 %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20 %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3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General, administrative, and other expenses increased by $13.3 million, or 39%, in the three months ended September 30, 2022, compared to the same period in 2021. The increase was primarily due to an increase of $8.2 million in payroll and personnel-related costs as a result of increased headcount and an increase of $2.7 million in office and administrative operation related expenses. As a percentage of total revenue, general, administrative, and other expenses increased from 15% to 30%.</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General, administrative, and other expenses increased by $57.5 million, or 71%, in the nine months ended September 30, 2022, compared to the same period in 2021. The increase was primarily due to an increase of $34.3 million in payroll and personnel-related costs as a result of increased headcount; an increase of $8.8 million in office and administrative operation related expenses; and an increase of $5.1 million in professional fees. As a percentage of total revenue, general, administrative, and other expenses increased from 15% to 20%.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Other Income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66"/>
        </w:trPr>
        <w:tc>
          <w:tcPr>
            <w:tcW w:w="2100" w:type="dxa"/>
            <w:vAlign w:val="bottom"/>
          </w:tcPr>
          <w:p>
            <w:pPr>
              <w:spacing w:after="0"/>
              <w:rPr>
                <w:sz w:val="24"/>
                <w:szCs w:val="24"/>
                <w:color w:val="auto"/>
              </w:rPr>
            </w:pPr>
          </w:p>
        </w:tc>
        <w:tc>
          <w:tcPr>
            <w:tcW w:w="2500" w:type="dxa"/>
            <w:vAlign w:val="bottom"/>
            <w:gridSpan w:val="5"/>
          </w:tcPr>
          <w:p>
            <w:pPr>
              <w:ind w:left="420"/>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1"/>
              </w:rPr>
              <w:t>Nine Months Ended</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1"/>
        </w:trPr>
        <w:tc>
          <w:tcPr>
            <w:tcW w:w="2100" w:type="dxa"/>
            <w:vAlign w:val="bottom"/>
          </w:tcPr>
          <w:p>
            <w:pPr>
              <w:spacing w:after="0"/>
              <w:rPr>
                <w:sz w:val="20"/>
                <w:szCs w:val="20"/>
                <w:color w:val="auto"/>
              </w:rPr>
            </w:pPr>
          </w:p>
        </w:tc>
        <w:tc>
          <w:tcPr>
            <w:tcW w:w="2400" w:type="dxa"/>
            <w:vAlign w:val="bottom"/>
            <w:tcBorders>
              <w:bottom w:val="single" w:sz="8" w:color="auto"/>
            </w:tcBorders>
            <w:gridSpan w:val="4"/>
          </w:tcPr>
          <w:p>
            <w:pPr>
              <w:ind w:left="680"/>
              <w:spacing w:after="0"/>
              <w:rPr>
                <w:sz w:val="20"/>
                <w:szCs w:val="20"/>
                <w:color w:val="auto"/>
              </w:rPr>
            </w:pPr>
            <w:r>
              <w:rPr>
                <w:rFonts w:ascii="Arial" w:cs="Arial" w:eastAsia="Arial" w:hAnsi="Arial"/>
                <w:sz w:val="17"/>
                <w:szCs w:val="17"/>
                <w:b w:val="1"/>
                <w:bCs w:val="1"/>
                <w:color w:val="auto"/>
              </w:rPr>
              <w:t>September 30,</w:t>
            </w:r>
          </w:p>
        </w:tc>
        <w:tc>
          <w:tcPr>
            <w:tcW w:w="100" w:type="dxa"/>
            <w:vAlign w:val="bottom"/>
          </w:tcPr>
          <w:p>
            <w:pPr>
              <w:spacing w:after="0"/>
              <w:rPr>
                <w:sz w:val="20"/>
                <w:szCs w:val="20"/>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b w:val="1"/>
                <w:bCs w:val="1"/>
                <w:color w:val="auto"/>
                <w:w w:val="92"/>
              </w:rPr>
              <w:t>Change</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7"/>
                <w:szCs w:val="17"/>
                <w:b w:val="1"/>
                <w:bCs w:val="1"/>
                <w:color w:val="auto"/>
                <w:w w:val="91"/>
              </w:rPr>
              <w:t>September 30,</w:t>
            </w:r>
          </w:p>
        </w:tc>
        <w:tc>
          <w:tcPr>
            <w:tcW w:w="80" w:type="dxa"/>
            <w:vAlign w:val="bottom"/>
          </w:tcPr>
          <w:p>
            <w:pPr>
              <w:spacing w:after="0"/>
              <w:rPr>
                <w:sz w:val="20"/>
                <w:szCs w:val="20"/>
                <w:color w:val="auto"/>
              </w:rPr>
            </w:pPr>
          </w:p>
        </w:tc>
        <w:tc>
          <w:tcPr>
            <w:tcW w:w="1340" w:type="dxa"/>
            <w:vAlign w:val="bottom"/>
            <w:tcBorders>
              <w:bottom w:val="single" w:sz="8" w:color="auto"/>
            </w:tcBorders>
            <w:gridSpan w:val="3"/>
          </w:tcPr>
          <w:p>
            <w:pPr>
              <w:ind w:left="740"/>
              <w:spacing w:after="0"/>
              <w:rPr>
                <w:sz w:val="20"/>
                <w:szCs w:val="20"/>
                <w:color w:val="auto"/>
              </w:rPr>
            </w:pPr>
            <w:r>
              <w:rPr>
                <w:rFonts w:ascii="Arial" w:cs="Arial" w:eastAsia="Arial" w:hAnsi="Arial"/>
                <w:sz w:val="17"/>
                <w:szCs w:val="17"/>
                <w:b w:val="1"/>
                <w:bCs w:val="1"/>
                <w:color w:val="auto"/>
                <w:w w:val="92"/>
              </w:rPr>
              <w:t>Change</w:t>
            </w:r>
          </w:p>
        </w:tc>
        <w:tc>
          <w:tcPr>
            <w:tcW w:w="700" w:type="dxa"/>
            <w:vAlign w:val="bottom"/>
            <w:tcBorders>
              <w:bottom w:val="single" w:sz="8" w:color="auto"/>
            </w:tcBorders>
          </w:tcPr>
          <w:p>
            <w:pPr>
              <w:spacing w:after="0"/>
              <w:rPr>
                <w:sz w:val="20"/>
                <w:szCs w:val="20"/>
                <w:color w:val="auto"/>
              </w:rPr>
            </w:pPr>
          </w:p>
        </w:tc>
      </w:tr>
      <w:tr>
        <w:trPr>
          <w:trHeight w:val="251"/>
        </w:trPr>
        <w:tc>
          <w:tcPr>
            <w:tcW w:w="2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r>
      <w:tr>
        <w:trPr>
          <w:trHeight w:val="21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300"/>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33"/>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(1)</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w:t>
      </w:r>
    </w:p>
    <w:p>
      <w:pPr>
        <w:spacing w:after="0" w:line="17" w:lineRule="exact"/>
        <w:rPr>
          <w:sz w:val="20"/>
          <w:szCs w:val="20"/>
          <w:color w:val="auto"/>
        </w:rPr>
      </w:pPr>
    </w:p>
    <w:p>
      <w:pPr>
        <w:ind w:left="460" w:hanging="457"/>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income (expense) increased by $1.9 million in the three months ended September 30, 2022 compared to the same period in 2021. The increase was primarily due to $3.0 million increase in dividend income, partially offset by $0.4 million increase of interest expense incurred on convertible notes during the three months ended September 30, 2022.</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Other income (expense) increased by $7.2 million in the nine months ended September 30, 2022 compared to the same period in 2021. The increase was primarily due to our voluntary repayment of proceeds received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PPP loan of $5.2 million in 2021 and an increase in dividend income of $3.5 million, partially offset by a $2.7 million increase of interest expense incurred on convertible notes during the nine months ended September 30, 2022.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To supplement our condensed consolidated financial statements prepared and presented in accordance with GAAP, we use the non-GAAP financial measures of Contribution Profit, Contribution Margin, Adjusted EBITDA, Adjusted EBITDA Margin, and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address these limitations, we provide a reconciliation of Contribution Profit, Contribution Margin, Adjusted EBITDA, Adjusted EBITDA Margin, and Adjusted Net Income (Loss) and Adjusted Net Income (Loss)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7"/>
                <w:szCs w:val="17"/>
                <w:b w:val="1"/>
                <w:bCs w:val="1"/>
                <w:color w:val="auto"/>
              </w:rPr>
              <w:t>Nine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60" w:type="dxa"/>
            <w:vAlign w:val="bottom"/>
            <w:gridSpan w:val="3"/>
          </w:tcPr>
          <w:p>
            <w:pPr>
              <w:jc w:val="right"/>
              <w:ind w:right="174"/>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gridSpan w:val="3"/>
          </w:tcPr>
          <w:p>
            <w:pPr>
              <w:jc w:val="right"/>
              <w:ind w:right="174"/>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5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89"/>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210,421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179,348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513,888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751,675</w:t>
            </w: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28,599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(58,091)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80,467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(55,365)</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Operating Margin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line="168" w:lineRule="exact"/>
              <w:rPr>
                <w:sz w:val="20"/>
                <w:szCs w:val="20"/>
                <w:color w:val="auto"/>
              </w:rPr>
            </w:pPr>
            <w:r>
              <w:rPr>
                <w:rFonts w:ascii="Arial" w:cs="Arial" w:eastAsia="Arial" w:hAnsi="Arial"/>
                <w:sz w:val="17"/>
                <w:szCs w:val="17"/>
                <w:color w:val="auto"/>
                <w:w w:val="96"/>
              </w:rPr>
              <w:t>Sales and marketing, net of borrower acquisition</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60" w:type="dxa"/>
            <w:vAlign w:val="bottom"/>
          </w:tcPr>
          <w:p>
            <w:pPr>
              <w:ind w:left="20"/>
              <w:spacing w:after="0" w:line="231" w:lineRule="exact"/>
              <w:rPr>
                <w:sz w:val="20"/>
                <w:szCs w:val="20"/>
                <w:color w:val="auto"/>
              </w:rPr>
            </w:pPr>
            <w:r>
              <w:rPr>
                <w:rFonts w:ascii="Arial" w:cs="Arial" w:eastAsia="Arial" w:hAnsi="Arial"/>
                <w:sz w:val="17"/>
                <w:szCs w:val="17"/>
                <w:color w:val="auto"/>
              </w:rPr>
              <w:t>costs</w:t>
            </w:r>
            <w:r>
              <w:rPr>
                <w:rFonts w:ascii="Arial" w:cs="Arial" w:eastAsia="Arial" w:hAnsi="Arial"/>
                <w:sz w:val="22"/>
                <w:szCs w:val="22"/>
                <w:color w:val="auto"/>
                <w:vertAlign w:val="superscript"/>
              </w:rPr>
              <w:t>(1)</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6,239</w:t>
            </w:r>
          </w:p>
        </w:tc>
        <w:tc>
          <w:tcPr>
            <w:tcW w:w="100" w:type="dxa"/>
            <w:vAlign w:val="bottom"/>
          </w:tcPr>
          <w:p>
            <w:pPr>
              <w:spacing w:after="0"/>
              <w:rPr>
                <w:sz w:val="20"/>
                <w:szCs w:val="20"/>
                <w:color w:val="auto"/>
              </w:rPr>
            </w:pPr>
          </w:p>
        </w:tc>
        <w:tc>
          <w:tcPr>
            <w:tcW w:w="740" w:type="dxa"/>
            <w:vAlign w:val="bottom"/>
          </w:tcPr>
          <w:p>
            <w:pPr>
              <w:jc w:val="right"/>
              <w:ind w:right="5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10,348</w:t>
            </w:r>
          </w:p>
        </w:tc>
        <w:tc>
          <w:tcPr>
            <w:tcW w:w="8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14,476</w:t>
            </w:r>
          </w:p>
        </w:tc>
        <w:tc>
          <w:tcPr>
            <w:tcW w:w="80" w:type="dxa"/>
            <w:vAlign w:val="bottom"/>
          </w:tcPr>
          <w:p>
            <w:pPr>
              <w:spacing w:after="0"/>
              <w:rPr>
                <w:sz w:val="20"/>
                <w:szCs w:val="20"/>
                <w:color w:val="auto"/>
              </w:rPr>
            </w:pPr>
          </w:p>
        </w:tc>
        <w:tc>
          <w:tcPr>
            <w:tcW w:w="74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31,910</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5"/>
              </w:rPr>
              <w:t>Customer operations, net of borrower verification</w:t>
            </w: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560" w:type="dxa"/>
            <w:vAlign w:val="bottom"/>
            <w:shd w:val="clear" w:color="auto" w:fill="CCEEFF"/>
          </w:tcPr>
          <w:p>
            <w:pPr>
              <w:ind w:left="20"/>
              <w:spacing w:after="0" w:line="231" w:lineRule="exact"/>
              <w:rPr>
                <w:sz w:val="20"/>
                <w:szCs w:val="20"/>
                <w:color w:val="auto"/>
              </w:rPr>
            </w:pPr>
            <w:r>
              <w:rPr>
                <w:rFonts w:ascii="Arial" w:cs="Arial" w:eastAsia="Arial" w:hAnsi="Arial"/>
                <w:sz w:val="17"/>
                <w:szCs w:val="17"/>
                <w:color w:val="auto"/>
              </w:rPr>
              <w:t>and servicing costs</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7,577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7,706</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15,201</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20,728</w:t>
            </w: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Engineering and product development</w:t>
            </w: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37,085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134"/>
              <w:spacing w:after="0"/>
              <w:rPr>
                <w:sz w:val="20"/>
                <w:szCs w:val="20"/>
                <w:color w:val="auto"/>
              </w:rPr>
            </w:pPr>
            <w:r>
              <w:rPr>
                <w:rFonts w:ascii="Arial" w:cs="Arial" w:eastAsia="Arial" w:hAnsi="Arial"/>
                <w:sz w:val="17"/>
                <w:szCs w:val="17"/>
                <w:color w:val="auto"/>
              </w:rPr>
              <w:t>66,182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87,504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173,218</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34,442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47,752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80,602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138,148</w:t>
            </w:r>
          </w:p>
        </w:tc>
        <w:tc>
          <w:tcPr>
            <w:tcW w:w="0" w:type="dxa"/>
            <w:vAlign w:val="bottom"/>
          </w:tcPr>
          <w:p>
            <w:pPr>
              <w:spacing w:after="0"/>
              <w:rPr>
                <w:sz w:val="1"/>
                <w:szCs w:val="1"/>
                <w:color w:val="auto"/>
              </w:rPr>
            </w:pPr>
          </w:p>
        </w:tc>
      </w:tr>
      <w:tr>
        <w:trPr>
          <w:trHeight w:val="218"/>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Interest income and fair value adjustments, net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(18,029)</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22,115</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(29,853)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56,144</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Contribution Profit</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95,913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96,012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248,397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364,783</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46 %</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Arial" w:cs="Arial" w:eastAsia="Arial" w:hAnsi="Arial"/>
                <w:sz w:val="17"/>
                <w:szCs w:val="17"/>
                <w:color w:val="auto"/>
              </w:rPr>
              <w:t>54 %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48 %</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spacing w:after="0" w:line="190" w:lineRule="exact"/>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92"/>
        </w:trPr>
        <w:tc>
          <w:tcPr>
            <w:tcW w:w="3560" w:type="dxa"/>
            <w:vAlign w:val="bottom"/>
          </w:tcPr>
          <w:p>
            <w:pPr>
              <w:spacing w:after="0"/>
              <w:rPr>
                <w:sz w:val="20"/>
                <w:szCs w:val="20"/>
                <w:color w:val="auto"/>
              </w:rPr>
            </w:pPr>
            <w:r>
              <w:rPr>
                <w:rFonts w:ascii="Arial" w:cs="Arial" w:eastAsia="Arial" w:hAnsi="Arial"/>
                <w:sz w:val="17"/>
                <w:szCs w:val="17"/>
                <w:color w:val="auto"/>
              </w:rPr>
              <w:t>_________</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59" w:lineRule="auto"/>
        <w:tabs>
          <w:tab w:leader="none" w:pos="453" w:val="left"/>
        </w:tabs>
        <w:numPr>
          <w:ilvl w:val="0"/>
          <w:numId w:val="25"/>
        </w:numPr>
        <w:rPr>
          <w:rFonts w:ascii="Arial" w:cs="Arial" w:eastAsia="Arial" w:hAnsi="Arial"/>
          <w:sz w:val="13"/>
          <w:szCs w:val="13"/>
          <w:color w:val="auto"/>
        </w:rPr>
      </w:pPr>
      <w:r>
        <w:rPr>
          <w:rFonts w:ascii="Arial" w:cs="Arial" w:eastAsia="Arial" w:hAnsi="Arial"/>
          <w:sz w:val="13"/>
          <w:szCs w:val="13"/>
          <w:color w:val="auto"/>
        </w:rPr>
        <w:t>Borrower acquisition costs were $87.1 million and $46.0 million for the three months ended September 30, 2021 and 2022, respectively, and were $204.2 million and $263.1 million for the nine months ended September 30, 2021 and 2022,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460" w:hanging="457"/>
        <w:spacing w:after="0" w:line="246" w:lineRule="auto"/>
        <w:tabs>
          <w:tab w:leader="none" w:pos="453" w:val="left"/>
        </w:tabs>
        <w:numPr>
          <w:ilvl w:val="0"/>
          <w:numId w:val="25"/>
        </w:numPr>
        <w:rPr>
          <w:rFonts w:ascii="Arial" w:cs="Arial" w:eastAsia="Arial" w:hAnsi="Arial"/>
          <w:sz w:val="14"/>
          <w:szCs w:val="14"/>
          <w:color w:val="auto"/>
        </w:rPr>
      </w:pPr>
      <w:r>
        <w:rPr>
          <w:rFonts w:ascii="Arial" w:cs="Arial" w:eastAsia="Arial" w:hAnsi="Arial"/>
          <w:sz w:val="14"/>
          <w:szCs w:val="14"/>
          <w:color w:val="auto"/>
        </w:rPr>
        <w:t>Borrower verification and servicing costs were $27.4 million and $37.3 million for the three months ended September 30, 2021 and 2022, respectively, and were $61.3 million and $123.8 million for the nine months ended September 30, 2021 and 2022,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61" w:lineRule="exact"/>
        <w:rPr>
          <w:sz w:val="20"/>
          <w:szCs w:val="20"/>
          <w:color w:val="auto"/>
        </w:rPr>
      </w:pPr>
    </w:p>
    <w:p>
      <w:pPr>
        <w:jc w:val="both"/>
        <w:ind w:left="940" w:hanging="318"/>
        <w:spacing w:after="0" w:line="258"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65" w:lineRule="exact"/>
        <w:rPr>
          <w:rFonts w:ascii="Arial" w:cs="Arial" w:eastAsia="Arial" w:hAnsi="Arial"/>
          <w:sz w:val="17"/>
          <w:szCs w:val="17"/>
          <w:color w:val="auto"/>
        </w:rPr>
      </w:pPr>
    </w:p>
    <w:p>
      <w:pPr>
        <w:ind w:left="940" w:hanging="318"/>
        <w:spacing w:after="0" w:line="312" w:lineRule="auto"/>
        <w:tabs>
          <w:tab w:leader="none" w:pos="9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and Adjusted EBITDA Margin eliminate the impact of certain items such as stock-based compensation expense and certain payroll tax expense, warrant expense and acquisition-related costs that may obscure trends in the underlying performance of our business; and</w:t>
      </w:r>
    </w:p>
    <w:p>
      <w:pPr>
        <w:spacing w:after="0" w:line="24" w:lineRule="exact"/>
        <w:rPr>
          <w:rFonts w:ascii="Arial" w:cs="Arial" w:eastAsia="Arial" w:hAnsi="Arial"/>
          <w:sz w:val="16"/>
          <w:szCs w:val="16"/>
          <w:color w:val="auto"/>
        </w:rPr>
      </w:pPr>
    </w:p>
    <w:p>
      <w:pPr>
        <w:ind w:left="940" w:hanging="318"/>
        <w:spacing w:after="0" w:line="264"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202"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61" w:lineRule="exact"/>
        <w:rPr>
          <w:sz w:val="20"/>
          <w:szCs w:val="20"/>
          <w:color w:val="auto"/>
        </w:rPr>
      </w:pPr>
    </w:p>
    <w:p>
      <w:pPr>
        <w:ind w:left="940" w:hanging="318"/>
        <w:spacing w:after="0" w:line="331" w:lineRule="auto"/>
        <w:tabs>
          <w:tab w:leader="none" w:pos="9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91" w:lineRule="exact"/>
        <w:rPr>
          <w:sz w:val="20"/>
          <w:szCs w:val="20"/>
          <w:color w:val="auto"/>
        </w:rPr>
      </w:pPr>
    </w:p>
    <w:p>
      <w:pPr>
        <w:jc w:val="both"/>
        <w:ind w:left="940" w:hanging="318"/>
        <w:spacing w:after="0" w:line="295" w:lineRule="auto"/>
        <w:tabs>
          <w:tab w:leader="none" w:pos="9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41" w:lineRule="exact"/>
        <w:rPr>
          <w:rFonts w:ascii="Arial" w:cs="Arial" w:eastAsia="Arial" w:hAnsi="Arial"/>
          <w:sz w:val="15"/>
          <w:szCs w:val="15"/>
          <w:color w:val="auto"/>
        </w:rPr>
      </w:pPr>
    </w:p>
    <w:p>
      <w:pPr>
        <w:jc w:val="both"/>
        <w:ind w:left="940" w:hanging="318"/>
        <w:spacing w:after="0" w:line="25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65" w:lineRule="exact"/>
        <w:rPr>
          <w:rFonts w:ascii="Arial" w:cs="Arial" w:eastAsia="Arial" w:hAnsi="Arial"/>
          <w:sz w:val="17"/>
          <w:szCs w:val="17"/>
          <w:color w:val="auto"/>
        </w:rPr>
      </w:pPr>
    </w:p>
    <w:p>
      <w:pPr>
        <w:jc w:val="both"/>
        <w:ind w:left="940" w:hanging="318"/>
        <w:spacing w:after="0" w:line="25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95" w:lineRule="exact"/>
        <w:rPr>
          <w:sz w:val="20"/>
          <w:szCs w:val="20"/>
          <w:color w:val="auto"/>
        </w:rPr>
      </w:pPr>
    </w:p>
    <w:p>
      <w:pPr>
        <w:jc w:val="both"/>
        <w:ind w:firstLine="541"/>
        <w:spacing w:after="0" w:line="258" w:lineRule="auto"/>
        <w:rPr>
          <w:sz w:val="20"/>
          <w:szCs w:val="20"/>
          <w:color w:val="auto"/>
        </w:rPr>
      </w:pPr>
      <w:r>
        <w:rPr>
          <w:rFonts w:ascii="Arial" w:cs="Arial" w:eastAsia="Arial" w:hAnsi="Arial"/>
          <w:sz w:val="17"/>
          <w:szCs w:val="17"/>
          <w:color w:val="auto"/>
        </w:rPr>
        <w:t>Because of these limitations, Adjusted EBITDA and Adjusted EBITDA Margin should be considered along with other operating and financial performance measures presented in accordance with GAAP. The following table provides a reconciliation of net income (loss) and net income (loss) margin to Adjusted EBITDA Margin. We define Net Income Margin as net income (loss) divided by total revenue.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4"/>
          </w:tcPr>
          <w:p>
            <w:pPr>
              <w:jc w:val="right"/>
              <w:ind w:right="914"/>
              <w:spacing w:after="0"/>
              <w:rPr>
                <w:sz w:val="20"/>
                <w:szCs w:val="20"/>
                <w:color w:val="auto"/>
              </w:rPr>
            </w:pPr>
            <w:r>
              <w:rPr>
                <w:rFonts w:ascii="Arial" w:cs="Arial" w:eastAsia="Arial" w:hAnsi="Arial"/>
                <w:sz w:val="17"/>
                <w:szCs w:val="17"/>
                <w:b w:val="1"/>
                <w:bCs w:val="1"/>
                <w:color w:val="auto"/>
              </w:rPr>
              <w:t>Nine Months Ended</w:t>
            </w:r>
          </w:p>
        </w:tc>
      </w:tr>
      <w:tr>
        <w:trPr>
          <w:trHeight w:val="231"/>
        </w:trPr>
        <w:tc>
          <w:tcPr>
            <w:tcW w:w="38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7"/>
                <w:szCs w:val="17"/>
                <w:b w:val="1"/>
                <w:bCs w:val="1"/>
                <w:color w:val="auto"/>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120" w:type="dxa"/>
            <w:vAlign w:val="bottom"/>
            <w:tcBorders>
              <w:bottom w:val="single" w:sz="8" w:color="auto"/>
            </w:tcBorders>
          </w:tcPr>
          <w:p>
            <w:pPr>
              <w:spacing w:after="0"/>
              <w:rPr>
                <w:sz w:val="20"/>
                <w:szCs w:val="20"/>
                <w:color w:val="auto"/>
              </w:rPr>
            </w:pPr>
          </w:p>
        </w:tc>
      </w:tr>
      <w:tr>
        <w:trPr>
          <w:trHeight w:val="213"/>
        </w:trPr>
        <w:tc>
          <w:tcPr>
            <w:tcW w:w="38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w w:val="84"/>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228,450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157,233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543,741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695,531</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29,113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7"/>
                <w:szCs w:val="17"/>
                <w:color w:val="auto"/>
              </w:rPr>
              <w:t>(56,223)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76,499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(53,402)</w:t>
            </w:r>
          </w:p>
        </w:tc>
      </w:tr>
      <w:tr>
        <w:trPr>
          <w:trHeight w:val="220"/>
        </w:trPr>
        <w:tc>
          <w:tcPr>
            <w:tcW w:w="38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Net Income (loss) Margin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386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Stock-based compensation and certain payroll tax</w:t>
            </w:r>
          </w:p>
        </w:tc>
        <w:tc>
          <w:tcPr>
            <w:tcW w:w="4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6"/>
        </w:trPr>
        <w:tc>
          <w:tcPr>
            <w:tcW w:w="3860" w:type="dxa"/>
            <w:vAlign w:val="bottom"/>
            <w:shd w:val="clear" w:color="auto" w:fill="CCEEFF"/>
          </w:tcPr>
          <w:p>
            <w:pPr>
              <w:ind w:left="20"/>
              <w:spacing w:after="0" w:line="225" w:lineRule="exact"/>
              <w:rPr>
                <w:sz w:val="20"/>
                <w:szCs w:val="20"/>
                <w:color w:val="auto"/>
              </w:rPr>
            </w:pPr>
            <w:r>
              <w:rPr>
                <w:rFonts w:ascii="Arial" w:cs="Arial" w:eastAsia="Arial" w:hAnsi="Arial"/>
                <w:sz w:val="17"/>
                <w:szCs w:val="17"/>
                <w:color w:val="auto"/>
              </w:rPr>
              <w:t>expenses</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28,333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59,448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93,721</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2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2,185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3,724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4,984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9,859</w:t>
            </w:r>
          </w:p>
        </w:tc>
      </w:tr>
      <w:tr>
        <w:trPr>
          <w:trHeight w:val="220"/>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on convertible notes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776</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807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3,511</w:t>
            </w: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(Benefit) provision for income taxes</w:t>
            </w:r>
          </w:p>
        </w:tc>
        <w:tc>
          <w:tcPr>
            <w:tcW w:w="420" w:type="dxa"/>
            <w:vAlign w:val="bottom"/>
          </w:tcPr>
          <w:p>
            <w:pPr>
              <w:spacing w:after="0"/>
              <w:rPr>
                <w:sz w:val="18"/>
                <w:szCs w:val="18"/>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(1,268)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7"/>
                <w:szCs w:val="17"/>
                <w:color w:val="auto"/>
              </w:rPr>
              <w:t>(2,035)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55</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Acquisition-related costs</w:t>
            </w: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1,237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r>
      <w:tr>
        <w:trPr>
          <w:trHeight w:val="213"/>
        </w:trPr>
        <w:tc>
          <w:tcPr>
            <w:tcW w:w="386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59,139</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(14,358)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140,940</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53,744</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38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Adjusted EBITDA Margin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52" w:lineRule="auto"/>
        <w:tabs>
          <w:tab w:leader="none" w:pos="453"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(Loss) and Adjusted Net Income (Loss) Per Share</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define Adjusted Net Income (Loss) as net income (loss) exclusive of stock-based compensation expense and certain payroll tax expense and acquisition-related costs. Adjusted Net Income (Loss) Per Share is calculated by dividing Adjusted Net Income (Loss) Per Share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80" w:type="dxa"/>
            <w:vAlign w:val="bottom"/>
            <w:gridSpan w:val="5"/>
          </w:tcPr>
          <w:p>
            <w:pPr>
              <w:ind w:left="660"/>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Pr>
          <w:p>
            <w:pPr>
              <w:spacing w:after="0"/>
              <w:rPr>
                <w:sz w:val="19"/>
                <w:szCs w:val="19"/>
                <w:color w:val="auto"/>
              </w:rPr>
            </w:pPr>
          </w:p>
        </w:tc>
        <w:tc>
          <w:tcPr>
            <w:tcW w:w="2980" w:type="dxa"/>
            <w:vAlign w:val="bottom"/>
            <w:gridSpan w:val="4"/>
          </w:tcPr>
          <w:p>
            <w:pPr>
              <w:jc w:val="right"/>
              <w:ind w:right="854"/>
              <w:spacing w:after="0"/>
              <w:rPr>
                <w:sz w:val="20"/>
                <w:szCs w:val="20"/>
                <w:color w:val="auto"/>
              </w:rPr>
            </w:pPr>
            <w:r>
              <w:rPr>
                <w:rFonts w:ascii="Arial" w:cs="Arial" w:eastAsia="Arial" w:hAnsi="Arial"/>
                <w:sz w:val="17"/>
                <w:szCs w:val="17"/>
                <w:b w:val="1"/>
                <w:bCs w:val="1"/>
                <w:color w:val="auto"/>
              </w:rPr>
              <w:t>Nine Months Ended</w:t>
            </w:r>
          </w:p>
        </w:tc>
      </w:tr>
      <w:tr>
        <w:trPr>
          <w:trHeight w:val="228"/>
        </w:trPr>
        <w:tc>
          <w:tcPr>
            <w:tcW w:w="4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b w:val="1"/>
                <w:bCs w:val="1"/>
                <w:color w:val="auto"/>
              </w:rPr>
              <w:t>September 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rPr>
              <w:t>September 30,</w:t>
            </w:r>
          </w:p>
        </w:tc>
        <w:tc>
          <w:tcPr>
            <w:tcW w:w="1060" w:type="dxa"/>
            <w:vAlign w:val="bottom"/>
            <w:tcBorders>
              <w:bottom w:val="single" w:sz="8" w:color="auto"/>
            </w:tcBorders>
          </w:tcPr>
          <w:p>
            <w:pPr>
              <w:spacing w:after="0"/>
              <w:rPr>
                <w:sz w:val="19"/>
                <w:szCs w:val="19"/>
                <w:color w:val="auto"/>
              </w:rPr>
            </w:pPr>
          </w:p>
        </w:tc>
      </w:tr>
      <w:tr>
        <w:trPr>
          <w:trHeight w:val="217"/>
        </w:trPr>
        <w:tc>
          <w:tcPr>
            <w:tcW w:w="40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76,499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(53,402)</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69"/>
        </w:trPr>
        <w:tc>
          <w:tcPr>
            <w:tcW w:w="40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Stock-based compensation and certain payroll tax</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2"/>
        </w:trPr>
        <w:tc>
          <w:tcPr>
            <w:tcW w:w="4080" w:type="dxa"/>
            <w:vAlign w:val="bottom"/>
            <w:shd w:val="clear" w:color="auto" w:fill="CCEEFF"/>
          </w:tcPr>
          <w:p>
            <w:pPr>
              <w:ind w:left="220"/>
              <w:spacing w:after="0" w:line="231" w:lineRule="exact"/>
              <w:rPr>
                <w:sz w:val="20"/>
                <w:szCs w:val="20"/>
                <w:color w:val="auto"/>
              </w:rPr>
            </w:pPr>
            <w:r>
              <w:rPr>
                <w:rFonts w:ascii="Arial" w:cs="Arial" w:eastAsia="Arial" w:hAnsi="Arial"/>
                <w:sz w:val="17"/>
                <w:szCs w:val="17"/>
                <w:color w:val="auto"/>
              </w:rPr>
              <w:t>expenses</w:t>
            </w:r>
            <w:r>
              <w:rPr>
                <w:rFonts w:ascii="Arial" w:cs="Arial" w:eastAsia="Arial" w:hAnsi="Arial"/>
                <w:sz w:val="22"/>
                <w:szCs w:val="22"/>
                <w:color w:val="auto"/>
                <w:vertAlign w:val="superscript"/>
              </w:rPr>
              <w:t>(1)</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28,333</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93,721</w:t>
            </w: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Acquisition-related costs</w:t>
            </w:r>
          </w:p>
        </w:tc>
        <w:tc>
          <w:tcPr>
            <w:tcW w:w="4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 (Loss)</w:t>
            </w: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57,446</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137,184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40,319</w:t>
            </w:r>
          </w:p>
        </w:tc>
      </w:tr>
      <w:tr>
        <w:trPr>
          <w:trHeight w:val="198"/>
        </w:trPr>
        <w:tc>
          <w:tcPr>
            <w:tcW w:w="4080" w:type="dxa"/>
            <w:vAlign w:val="bottom"/>
          </w:tcPr>
          <w:p>
            <w:pPr>
              <w:ind w:left="20"/>
              <w:spacing w:after="0"/>
              <w:rPr>
                <w:sz w:val="20"/>
                <w:szCs w:val="20"/>
                <w:color w:val="auto"/>
              </w:rPr>
            </w:pPr>
            <w:r>
              <w:rPr>
                <w:rFonts w:ascii="Arial" w:cs="Arial" w:eastAsia="Arial" w:hAnsi="Arial"/>
                <w:sz w:val="17"/>
                <w:szCs w:val="17"/>
                <w:color w:val="auto"/>
              </w:rPr>
              <w:t>Net income (loss) per share: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(0.69)</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0.81</w:t>
            </w:r>
          </w:p>
        </w:tc>
        <w:tc>
          <w:tcPr>
            <w:tcW w:w="8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(0.64)</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(Loss) per Share: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0.72</w:t>
            </w:r>
          </w:p>
        </w:tc>
        <w:tc>
          <w:tcPr>
            <w:tcW w:w="8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580" w:type="dxa"/>
            <w:vAlign w:val="bottom"/>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0.48</w:t>
            </w: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79,392,600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81,672,099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76,586,395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83,236,131</w:t>
            </w: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96,057,210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81,672,099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94,165,325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92,991,590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6" w:lineRule="auto"/>
        <w:tabs>
          <w:tab w:leader="none" w:pos="453"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Cash</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December 2020, we completed our IPO which resulted in $167.4 million of proceeds, net of underwriting discounts and commissions, and before deducting deferred offering costs of $7.9 million.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$645.5 million after deducting debt issuance costs.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September 30, 2022, our primary source of liquidity was cash of $684.0 million. Changes in the balance of cash are generally a result of working capital fluctuations or the timing of purchases and sales of loans facilitated through our marketplace. To finance purchases of certain loans facilitated through our lending marketplace, we rely on our warehouse credit facilities through the special-purpose trusts, or the warehouse trusts. We may borrow up to $175.0 million under the ULT Credit Facility to purchase unsecured personal loans. We may also borrow up to $200.0 million under the UAWT Credit Facility to purchase secured auto loans.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Retained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As of September 30, 2022, we held $700.5 million of loans on our condensed consolidated balance sheet. $248.8 million of these loans were originated for research and development purposes, primarily in support of our auto lending products and expansion of our unsecured personal loan product to new categories of borrowers. We also held $451.7 million of core personal loans which would otherwise be immediately purchased by institutional investors.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retained loans to investors over time in the form of secondary sales or securitizations.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Cash Requirements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current and long-term material cash requirements as of September 30, 2022 consist of convertible senior notes, warehouse credit facilities, operating leases, and purchase commitments.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See “</w:t>
      </w:r>
      <w:r>
        <w:rPr>
          <w:rFonts w:ascii="Arial" w:cs="Arial" w:eastAsia="Arial" w:hAnsi="Arial"/>
          <w:sz w:val="17"/>
          <w:szCs w:val="17"/>
          <w:i w:val="1"/>
          <w:iCs w:val="1"/>
          <w:color w:val="auto"/>
        </w:rPr>
        <w:t>Note 8. Borrowings</w:t>
      </w:r>
      <w:r>
        <w:rPr>
          <w:rFonts w:ascii="Arial" w:cs="Arial" w:eastAsia="Arial" w:hAnsi="Arial"/>
          <w:sz w:val="17"/>
          <w:szCs w:val="17"/>
          <w:color w:val="auto"/>
        </w:rPr>
        <w:t>” in Part I, Item 1 of this Form 10-Q for further details on our Notes.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warehouse credit facilities, which allow us to borrow up to an aggregate of $375.0 million of which $300.0 million is committed and $75.0 million uncommitted, mature between 2023 and 2024. As of September 30, 2022, we have drawn an aggregate of $269.7 million on our warehouse credit facilities. See “</w:t>
      </w:r>
      <w:r>
        <w:rPr>
          <w:rFonts w:ascii="Arial" w:cs="Arial" w:eastAsia="Arial" w:hAnsi="Arial"/>
          <w:sz w:val="17"/>
          <w:szCs w:val="17"/>
          <w:i w:val="1"/>
          <w:iCs w:val="1"/>
          <w:color w:val="auto"/>
        </w:rPr>
        <w:t>Note 8. Borrowings</w:t>
      </w:r>
      <w:r>
        <w:rPr>
          <w:rFonts w:ascii="Arial" w:cs="Arial" w:eastAsia="Arial" w:hAnsi="Arial"/>
          <w:sz w:val="17"/>
          <w:szCs w:val="17"/>
          <w:color w:val="auto"/>
        </w:rPr>
        <w:t>” in Part I, Item 1 of this Form 10-Q for further details on our warehouse credit facilities.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lease office facilities under operating lease agreements which expire between 2027 and 2032. Our cash requirements related to these lease agreements are $121.1 million, of which $14.3 million is expected to be paid within the next 12 months. See “</w:t>
      </w:r>
      <w:r>
        <w:rPr>
          <w:rFonts w:ascii="Arial" w:cs="Arial" w:eastAsia="Arial" w:hAnsi="Arial"/>
          <w:sz w:val="17"/>
          <w:szCs w:val="17"/>
          <w:i w:val="1"/>
          <w:iCs w:val="1"/>
          <w:color w:val="auto"/>
        </w:rPr>
        <w:t>Note 10. Leases</w:t>
      </w:r>
      <w:r>
        <w:rPr>
          <w:rFonts w:ascii="Arial" w:cs="Arial" w:eastAsia="Arial" w:hAnsi="Arial"/>
          <w:sz w:val="17"/>
          <w:szCs w:val="17"/>
          <w:color w:val="auto"/>
        </w:rPr>
        <w:t>” in Part I, Item 1 of this Form 10-Q for further details on our operating lease obligations.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committed to purchase loans from certain bank partners at the conclusion of the required holding period, which is generally equal to three business days. As of September 30, 2022, the total loan purchase commitment was $59.8 million.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Form 10-Q for further details on our loan purchase obligations.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diversify our investor base. If we are the retaining sponsor, we are required by law to retain at least 5% of the credit risk of the securities issued in these securitizations. We provide additional information regarding transactions with unconsolidated VIEs in “</w:t>
      </w:r>
      <w:r>
        <w:rPr>
          <w:rFonts w:ascii="Arial" w:cs="Arial" w:eastAsia="Arial" w:hAnsi="Arial"/>
          <w:sz w:val="17"/>
          <w:szCs w:val="17"/>
          <w:i w:val="1"/>
          <w:iCs w:val="1"/>
          <w:color w:val="auto"/>
        </w:rPr>
        <w:t>Note 3. Variable Interest Entities</w:t>
      </w:r>
      <w:r>
        <w:rPr>
          <w:rFonts w:ascii="Arial" w:cs="Arial" w:eastAsia="Arial" w:hAnsi="Arial"/>
          <w:sz w:val="17"/>
          <w:szCs w:val="17"/>
          <w:color w:val="auto"/>
        </w:rPr>
        <w:t>” in Part I, Item 1 of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flows during the periods indicated:</w:t>
      </w:r>
    </w:p>
    <w:p>
      <w:pPr>
        <w:spacing w:after="0" w:line="56"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Nine Months Ended</w:t>
      </w:r>
    </w:p>
    <w:p>
      <w:pPr>
        <w:spacing w:after="0" w:line="28"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24130</wp:posOffset>
            </wp:positionV>
            <wp:extent cx="2349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r>
      <w:tr>
        <w:trPr>
          <w:trHeight w:val="27"/>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179,497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(421,804)</w:t>
            </w:r>
          </w:p>
        </w:tc>
      </w:tr>
      <w:tr>
        <w:trPr>
          <w:trHeight w:val="218"/>
        </w:trPr>
        <w:tc>
          <w:tcPr>
            <w:tcW w:w="75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(124,101)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(29,012)</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805,032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89,501</w:t>
            </w:r>
          </w:p>
        </w:tc>
      </w:tr>
      <w:tr>
        <w:trPr>
          <w:trHeight w:val="211"/>
        </w:trPr>
        <w:tc>
          <w:tcPr>
            <w:tcW w:w="7540" w:type="dxa"/>
            <w:vAlign w:val="bottom"/>
          </w:tcPr>
          <w:p>
            <w:pPr>
              <w:ind w:left="220"/>
              <w:spacing w:after="0"/>
              <w:rPr>
                <w:sz w:val="20"/>
                <w:szCs w:val="20"/>
                <w:color w:val="auto"/>
              </w:rPr>
            </w:pPr>
            <w:r>
              <w:rPr>
                <w:rFonts w:ascii="Arial" w:cs="Arial" w:eastAsia="Arial" w:hAnsi="Arial"/>
                <w:sz w:val="17"/>
                <w:szCs w:val="17"/>
                <w:color w:val="auto"/>
              </w:rPr>
              <w:t>Net increase (decrease) in cash and restricted cash</w:t>
            </w: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860,428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(361,315)</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Operating Activities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sources of cash provided by operating activities are our revenue from fees earned under contracts with bank partners and loan investors and interest income we receive for loans held on our balance sheet.</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Net cash used in operating activities was $421.8 million for the nine months ended September 30, 2022, which primarily consisted of a decrease of $519.9 million in net operating assets and liabilities, adjustments for non-cash items of $151.5 million, and net loss of $53.4 million. The decrease in net operating assets and liabilities was primarily related to $1,459.5 million in purchases of loans held-for-sale, partially offset by $959.0 million principal payment and proceeds from the sale of loans classified as held-for-sale.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Investing Activities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cash used in investing activities was $29.0 million for the nine months ended September 30, 2022 as a result of $55.3 million purchases of loans held-for-investment and $10.8 million in capitalized software, partially offset by $27.7 million in principal payments received for loans held-for-investment, and $5.5 million in principal payments received for notes receivable and repayments of residual certificates.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Financing Activities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Net cash provided by financing activities was $89.5 million for the nine months ended September 30, 2022 as a result of $430.3 million proceeds from borrowings, partially offset by $209.1 million in payments on borrowings and $150.1 million in repurchases of common stock.</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Our significant accounting policies are described in Part II, Item 7, “</w:t>
      </w:r>
      <w:r>
        <w:rPr>
          <w:rFonts w:ascii="Arial" w:cs="Arial" w:eastAsia="Arial" w:hAnsi="Arial"/>
          <w:sz w:val="16"/>
          <w:szCs w:val="16"/>
          <w:i w:val="1"/>
          <w:iCs w:val="1"/>
          <w:color w:val="auto"/>
        </w:rPr>
        <w:t>Critical Accounting Policies and Estimates</w:t>
      </w:r>
      <w:r>
        <w:rPr>
          <w:rFonts w:ascii="Arial" w:cs="Arial" w:eastAsia="Arial" w:hAnsi="Arial"/>
          <w:sz w:val="16"/>
          <w:szCs w:val="16"/>
          <w:color w:val="auto"/>
        </w:rPr>
        <w:t>” in our Annual Report on Form 10-K for the year ended December 31, 2021. There have been no material changes in the nine months ended September 30, 2022 to these policies and estimates since our Quarterly Report on Form 10-Q for the year ended December 31, 2021, except for the estimated fair value of performance-based restricted stock as described in “</w:t>
      </w:r>
      <w:r>
        <w:rPr>
          <w:rFonts w:ascii="Arial" w:cs="Arial" w:eastAsia="Arial" w:hAnsi="Arial"/>
          <w:sz w:val="16"/>
          <w:szCs w:val="16"/>
          <w:i w:val="1"/>
          <w:iCs w:val="1"/>
          <w:color w:val="auto"/>
        </w:rPr>
        <w:t>Note 1. Description of Business and Significant Accounting Policies</w:t>
      </w:r>
      <w:r>
        <w:rPr>
          <w:rFonts w:ascii="Arial" w:cs="Arial" w:eastAsia="Arial" w:hAnsi="Arial"/>
          <w:sz w:val="16"/>
          <w:szCs w:val="16"/>
          <w:color w:val="auto"/>
        </w:rPr>
        <w:t>” and “</w:t>
      </w:r>
      <w:r>
        <w:rPr>
          <w:rFonts w:ascii="Arial" w:cs="Arial" w:eastAsia="Arial" w:hAnsi="Arial"/>
          <w:sz w:val="16"/>
          <w:szCs w:val="16"/>
          <w:i w:val="1"/>
          <w:iCs w:val="1"/>
          <w:color w:val="auto"/>
        </w:rPr>
        <w:t>Note 9. Stockholders' Equity</w:t>
      </w:r>
      <w:r>
        <w:rPr>
          <w:rFonts w:ascii="Arial" w:cs="Arial" w:eastAsia="Arial" w:hAnsi="Arial"/>
          <w:sz w:val="16"/>
          <w:szCs w:val="16"/>
          <w:color w:val="auto"/>
        </w:rPr>
        <w:t>” in Part I, Item 1 of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Note 1. Description of Business and Significant Accounting Policies</w:t>
      </w:r>
      <w:r>
        <w:rPr>
          <w:rFonts w:ascii="Arial" w:cs="Arial" w:eastAsia="Arial" w:hAnsi="Arial"/>
          <w:sz w:val="17"/>
          <w:szCs w:val="17"/>
          <w:color w:val="auto"/>
        </w:rPr>
        <w:t>” in Part I, Item 1 of this Form 10-Q for recently adopted accounting pronouncements and recently issued accounting pronouncements not yet adopted as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investor demand for loans facilitated through our marketplace, and availability of funding under our current credit facilities and term loans.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 Rate Risk</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 rates.</w:t>
      </w:r>
    </w:p>
    <w:p>
      <w:pPr>
        <w:spacing w:after="0" w:line="25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of December 31, 2021 and September 30, 2022, we were exposed to market discount rate risk on $252.5 million and $700.5 million, respectively, of loans held on our condensed consolidated balance sheets. The fair value of these loans is estimated using a discounted cash flow methodology, where the discount rate represents an estimate of the required rate of return by market participants. The discount rates for loans retained on our balance sheet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$3.4 million and $6.7 million decrease, respectively, in the fair value of loans held on our condensed consolidated balance sheet as of December 31, 2021 and a $8.5 million and $16.8 million decrease, respectively, as of September 30,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3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Credit risk refers to the risk of loss of the loans on our condensed consolidated balance sheets arising from individual borrower default due to inability or unwillingness to meet their financial obligations. The performance of certain financial instruments, including loans, securitization notes and residual certificates,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175"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 As of December 31, 2021 and September 30, 2022, we were exposed to credit risk on $252.5 million and $700.5 million, respectively, of loans held on our condensed consolidated balance sheet. These loans bear fixed interest rates and are carried on our condensed consolidated balance sheets at fair value. As of December 31, 2021, a hypothetical 10% and 20% increase in credit risk would result in a $4.0 million and $7.9 million decrease, and as of September 30, 2022, a hypothetical 10% and 20% increase in credit risk would result in a $8.7 million and $17.4 million decrease in the fair value of loans held on the Company’s condensed consolidated balance sheets, respectively.</w:t>
      </w:r>
    </w:p>
    <w:p>
      <w:pPr>
        <w:spacing w:after="0" w:line="18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As of December 31, 2021 and September 30, 2022, we are exposed to credit risk of $1,191.2 million and $829.9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An increase in interest rates typically results in an increase in the rate of return required by bank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3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offs, and decreasing recoveries, all of which could have a material adverse effect on our business. We expect these outcomes would generally invert in an environment of decreasing interest rates.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An increase or decrease in interest rates may also impact our exposure to interest rate risk on our warehouse credit facilities. As of December 31, 2021 and September 30, 2022, we were exposed to interest rate risk on $48.0 million and $269.7 million, respectively, under our warehouse credit facilities, which bear floating interest rates. Changes in interest rates may impact our cost of borrowing. From time to time, we enter into interest rate hedges in connection with our warehouse credit facilities.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inability or failure to manage market risks could harm our business, financial condition or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Investment Risk</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non-marketable equity securities are subject to a wide variety of market-related risks that could substantially reduce or increase the carrying value of our investments.</w:t>
      </w:r>
    </w:p>
    <w:p>
      <w:pPr>
        <w:spacing w:after="0" w:line="19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2021 and September 30, 2022, the carrying value of our non-marketable equity securities, which do not have readily determinable fair values, totaled $40.0 million and $41.0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September 30, 2022,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56"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September 30, 2022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Controls and Procedures</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For a description of our material pending legal proceedings, please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Quarterly Report on Form 10-Q and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RISK FACTORS</w:t>
      </w:r>
    </w:p>
    <w:p>
      <w:pPr>
        <w:spacing w:after="0" w:line="22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material risks that may affect our business, financial condition or results of operations include, but are not limited to, those relating to the following:</w:t>
      </w:r>
    </w:p>
    <w:p>
      <w:pPr>
        <w:spacing w:after="0" w:line="137" w:lineRule="exact"/>
        <w:rPr>
          <w:sz w:val="20"/>
          <w:szCs w:val="20"/>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a rapidly growing company with a relatively limited operating history, which may result in increased risks, uncertainties, expenses and difficulties, and makes it difficult to evaluate our future prospects.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revenue growth rate and financial performance in recent years may not be indicative of future performance and such growth may slow over time.</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business has been and may continue to be adversely affected by economic conditions and other factors that we cannot control.</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are unable to maintain diverse and robust loan funding programs,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our existing bank partners continue to cease or limit operations with us or if we are unable to attract and onboard new bank partners, our business, financial condition and results of operations will be adversely affected.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fail to effectively manage our growth, our business, financial condition and results of operations could be adversely affected.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have incurred net losses, and we may not be able to achieve, maintain or increase our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quarterly results are likely to fluctuate and as a result may adversely affect the trading price of our common stock.</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37" w:lineRule="exact"/>
        <w:rPr>
          <w:rFonts w:ascii="Arial" w:cs="Arial" w:eastAsia="Arial" w:hAnsi="Arial"/>
          <w:sz w:val="16"/>
          <w:szCs w:val="16"/>
          <w:color w:val="auto"/>
        </w:rPr>
      </w:pPr>
    </w:p>
    <w:p>
      <w:pPr>
        <w:ind w:left="620" w:hanging="307"/>
        <w:spacing w:after="0" w:line="349" w:lineRule="auto"/>
        <w:tabs>
          <w:tab w:leader="none" w:pos="616"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14" w:lineRule="exact"/>
        <w:rPr>
          <w:rFonts w:ascii="Arial" w:cs="Arial" w:eastAsia="Arial" w:hAnsi="Arial"/>
          <w:sz w:val="15"/>
          <w:szCs w:val="15"/>
          <w:color w:val="auto"/>
        </w:rPr>
      </w:pPr>
    </w:p>
    <w:p>
      <w:pPr>
        <w:ind w:left="620" w:hanging="30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Cross River Bank and one other bank partner account for a substantial portion of the total number of loans facilitated by our platform and our revenue.</w:t>
      </w:r>
    </w:p>
    <w:p>
      <w:pPr>
        <w:spacing w:after="0" w:line="125"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sales and onboarding process of new bank partners could take longer than expected, leading to fluctuations or variability in expected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61" w:lineRule="exact"/>
        <w:rPr>
          <w:rFonts w:ascii="Arial" w:cs="Arial" w:eastAsia="Arial" w:hAnsi="Arial"/>
          <w:sz w:val="17"/>
          <w:szCs w:val="17"/>
          <w:b w:val="1"/>
          <w:bCs w:val="1"/>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and brand are important to our success, and if we are unable to continue developing our 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w:t>
      </w:r>
    </w:p>
    <w:p>
      <w:pPr>
        <w:spacing w:after="0" w:line="7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1"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 and increase the volume of loans facilitated through our AI lending marketplace;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enter into new and maintain existing bank partnerships;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fund a sufficient quantity of our borrower loan demand with low cost bank funding to help keep interest rates offered to borrowers competitive;</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 competitive interest rates offered to borrowers on our platform, while enabling our bank partners and institutional investors to achieve an adequate return over their cost of funds, whether through their own balance sheets or through our loan funding programs;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build our brand and protect our reputation from negative publicity;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 the effectiveness of our marketing strategies, including our direct consumer marketing initiatives;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continue to expand the number of potential borrowers;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adjust our proprietary AI models, products and services in a timely manner in response to changing macroeconomic conditions and fluctuations in the credit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comply with and successfully adapt to complex and evolving regulatory environments;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protect against increasingly sophisticated fraudulent borrowing and online theft;</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enter into new markets and introduce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obtain and maintain corporate funding and liquidity to support continued growth and for general corporate purposes;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realize the anticipated benefits of our acquisitions of or investments in complementary businesses and technologies;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attract, integrate and retain qualified employees;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effectively manage and expand the capabilities of our operations teams, outsourcing relationships and other business operations.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If we are not able to timely and effectively address these risks and difficulties as well as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our business and results of operations may be harmed.</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revenue growth rate and financial performance in recent years may not be indicative of future performance and such growth may slow over time.</w:t>
      </w:r>
    </w:p>
    <w:p>
      <w:pPr>
        <w:spacing w:after="0" w:line="272"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have grown rapidly over the last several years, and our historical revenue growth rate and financial performance may not be indicative of our future performance. In the nine months ended September 30, 2021 and 2022, our revenue was $543.7 million and $695.5 million, respectively, representing a period-over-period growth rate of 28%. Our revenue for any previous quarterly or annual period should not be relied upon as any indication of our revenue or revenue growth in future periods. For example, our revenue growth rates have slowed and our revenue has declined during the second and third quarters of 2022. As we grow our business, our revenue growth rates may continue to slow, or our revenue may continue to decline, in future periods for a number of reasons, which may include slowing demand for or reduced funding through our lending marketplace offerings and services, sales of loans held on our balance sheet,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69% during the nine months ended September 30, 2021 and increased to 74% during the nine months ended September 30, 2022.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the loan offering mix. As a result of these factors, our revenue growth rates may slow, and our financial performance may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and may continue to be adversely affected by economic conditions and other factors that we cannot control.</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the willingness of our bank partners and loan investors to provide sufficient capital to fund loans facilitated through our lending marketplace or by affecting a borrower’s willingness to incur loan obligations or willingness or capacity to make payments on their loans. These factors include, but are not limited to, interest rates,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unemployment levels, lower consumer confidence,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United States has recently experienced historically high levels of inflation. According to the U.S. Department of Labor, the annual inflation rate for the United States was approximately 8.2% for September 2022.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and increase unemployment rates.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178"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in the use of our balance sheet to fund Upstart-powered loans;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for increased delinquencies and default rates for new and existing Upstart-powered loans.</w:t>
      </w:r>
    </w:p>
    <w:p>
      <w:pPr>
        <w:spacing w:after="0" w:line="232"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increasing interest rates caused and may in the future cause our bank partners and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A further reduction in the volume of the loans and loan financing products we sell would negatively impact our ability to maintain or increase the number of loans facilitated through our marketplace.</w:t>
      </w:r>
    </w:p>
    <w:p>
      <w:pPr>
        <w:spacing w:after="0" w:line="186"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Further, many new consumers on the Upstart platform have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divorce, death or other issues that affect borrowers could affect a borrower’s willingness or ability to make payments on their loans. If borrowers default on loans facilitated through our marketplace,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 economic downturns, may harm our ability to maintain robust loan funding programs,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We continue to monitor the ongoing economic conditions to assess possible implications to our business and to take appropriate actions in an effort to mitigate the adverse consequences of uncertainty or negative trends. However, there can be no assurances that initiatives we undertake will be sufficient or successful. 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maintain diverse and robust loan funding programs or if the committed capital from existing loan funding programs is reduced, our growth prospects, business, financial condition and results of operations could be adversely affected.</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business depends on sourcing and maintaining diverse and robust loan funding programs to fund Upstart-powered loans that our bank partners are unable or unwilling to retain on their balance sheets. In the nine months ended September 30, 2022, 28% of the loans funded through our platform were retained by the originating bank and 65% of loans were purchased by institutional investors through our loan funding programs. Our loan funding programs include whole loan sales and pass-through certificate issuances to institutional investors, asset-backed securitization transactions, and utilization of committed warehouse credit facilities. While our loan funding programs are diverse, only a limited portion of such funding sources are committed or guaranteed. We have recently experienced reductions in committed capital from certain funding sources due to concerns about the current macroeconomic environment, which has resulted in, and could continue to result in, declines in Transaction Volume, Number of Loans and revenue. We cannot be sure that these funding sources will continue to be available on reasonable terms or at all beyond the current maturity dates of our existing securitizations and debt financing arrangements. And while we are seeking more funding sources that are willing to commit or guarantee capital on a longer-term basis, we do not know when these types of funding sources will become available, if at all. And if they become available to us, they may be on terms that are more costly or have less favorable terms than our existing funding sources. For example, these types of longer-term committed capital may be more costly during periods with lower interest rates because these funding sources may have been agreed to when interest rates were higher and the funding will remain through a full economic cycle.</w:t>
      </w:r>
    </w:p>
    <w:p>
      <w:pPr>
        <w:spacing w:after="0" w:line="20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markets volatility, economic conditions and regulatory reforms. For example, our revenue has been negatively impacted by reduced loan funding due to recent concerns about the macroeconomic environment among institutional investors.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19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we have utilized, and expect to continue utilizing, our balance sheet to support short-term funding requirements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w:t>
      </w:r>
    </w:p>
    <w:p>
      <w:pPr>
        <w:spacing w:after="0" w:line="18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If our existing bank partners continue to cease or limit operations with us or if we are unable to attract and onboard new bank partners, our business, financial condition and results of operations will be adversely affected.</w:t>
      </w:r>
    </w:p>
    <w:p>
      <w:pPr>
        <w:spacing w:after="0" w:line="18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success depends in significant part on the participation of our bank partners in our marketplace. In the nine months ended September 30, 2022, 108% of our revenue was generated from platform, referral and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fees that we receive from our bank partners. Our bank partners may suspend, limit or cease their participation in our marketplace for a number of reasons. For example, several of our bank partners have recently paused or reduced loan origination in order to limit their exposure in the current macroeconomic environment. If our bank partners continue to suspend, limit or cease their operations or otherwise terminate their relationships with us, the number of loans facilitated through our platform will decrease and our revenue will be adversely affected. Moreover,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20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We have entered into separate agreements with each of our bank partners. Our agreements with our bank partners are nonexclusive, generally have 12-month terms that automatically renew, subject to certain early termination provisions, and may contain minimum fee amounts.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bank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threat of increased scrutiny from the CFPB has caused and could continue to cause some of our bank partners to pause their participation in our lending marketplace or to not renew their agreements with us. The Office of the Comptroller of the Currency, or OCC, the prudential regulator for national banks operating in the United States, recently announced that it will be prioritizing the review of third-party relationships between banks and financial technology companies like us as part of the agency’s bank supervisory priorities for the upcoming calendar year. Increased regulatory scrutiny of bank relationships with financial technology companies could potentially discourage some of our bank partners from continuing to work with us, suspend, limit or cease their operations or otherwise terminate their relationship with us. If additional bank partners stop working with us, suspend, limit or cease their operations or otherwise terminate their relationship with us, the number of loans facilitated through our platform will decrease and our revenue will be adversely affected. Moreover,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net losses, and we may not be able to achieve, maintain or increase our profitability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 the nine months ended September 30, 2021 and 2022, we experienced net income of $76.5 million and net loss of $(53.4) million, respectively. For the three months ended September 30, 2022, we incurred net losses of $(56.2) million, down from $29.1 million of net income during the three months ended September 30, 2021.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results are likely to fluctuate and as a result may adversely affect the trading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quarterly results of operations, including the levels of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5"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attract new bank partners and investors of our loan funding programs;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relationships with existing bank partners and investors of our loan funding programs;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or increase loan volumes, and improve loan mix and the channels through which the loans, bank partners and loan funding are sourced;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cost of borrowing money and access to loan funding sources;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effective relationships with loan aggregators from which prospective borrowers access our website;</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rising interest and inflation rates, and tightening of credit markets, including due to the ongoing economic impact of the COVID-19 pandemic or the Russia-Ukraine conflict;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improvements to our AI models that negatively impact transaction volume, such as lower approval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identify and prevent fraudulent activity and the impact of fraud prevention measures;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fair value of assets and liabilities on our balance sheet;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and success of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effectiveness of our direct marketing and other marketing channels;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and extent of loans facilitated on our platform that are subject to loan modifications and/or temporary assistance due to disasters or emergencies;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and extent of prepayments of loans facilitated on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involvement in litigation or regulatory enforcement efforts (or the threat thereof) or those that impact our industry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length of the onboarding process related to acquisitions of new bank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 and</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or the development of competitive products by larger well-funded incumbents.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and recent government stimulus programs provided to individuals in response to the COVID-19 pandemic have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bank partners and institutional investors to our lending marketplace, increase the number of Upstart-powered loans or maintain or increase the average size of loans facilitated on our platform.</w:t>
      </w:r>
    </w:p>
    <w:p>
      <w:pPr>
        <w:spacing w:after="0" w:line="186"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9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and harm our ability to maintain diverse and robust loan funding program and could adversely affect our business, financial condition and results of operations.</w:t>
      </w:r>
    </w:p>
    <w:p>
      <w:pPr>
        <w:spacing w:after="0" w:line="25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Additionally,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0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6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the COVID-19 pandemic and certain macroeconomic conditions,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bank partners, institutional investors and others. In addition, we consider credit performance to be one of the most important measures of the effectiveness of our AI models and focus on credit performance compared to the expectations of our bank partners or institutional investors at the time of origination. For loans purchased by institutional investors, our 2021 and early 2022 vintages have underperformed relative to target returns. Moreover, the fair value of the loans on our balance sheet has declined in the quarter ended September 30, 2022 and may decline in future down-cycle economic conditions. Any of these factors could adversely affect our business, financial condition and results of operations.</w:t>
      </w:r>
    </w:p>
    <w:p>
      <w:pPr>
        <w:spacing w:after="0" w:line="192"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13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and certain originating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partners who contribute loans to the transactions receive cash and/or securities representing debt and equity interests in such SPE, which are the proceeds from the sale of the securities. The equity interests in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9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During periods of financial disruption and economic uncertainty, such as the financial crisis that began in 2008, the beginning of the COVID-19 pandemic in the spring of 2020 and the recent rising inflationary environment that has led to multiple interest rate increases in 2022, the securitization market has been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gain on sale and related servicing fees generated by our whole loan sales, and the servicing fees based on sales of asset-backed securities, also represent a significant source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three months ended September 30, 2022, we sold loans that had been originated in an earlier, lower interest rate environment. We recognized losses on these sales which reduced our revenue. As we hold more loans on our balance sheet, or hold these loans for longer periods and interest rates rise, our business, financial condition and results of operation could be adversely affected, including further reductions in revenue. Factors that may affect loan purchaser demand for loans include:</w:t>
      </w:r>
    </w:p>
    <w:p>
      <w:pPr>
        <w:spacing w:after="0" w:line="82" w:lineRule="exact"/>
        <w:rPr>
          <w:sz w:val="20"/>
          <w:szCs w:val="20"/>
          <w:color w:val="auto"/>
        </w:rPr>
      </w:pPr>
    </w:p>
    <w:p>
      <w:pPr>
        <w:ind w:left="62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extent to which servicing fees and other expenses may reduce overall net return on purchased pools of loans;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actual or perceived credit performance and loan grade and term mix of the portfolios of loans offered for sale;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loan purchasers’ sector and company investment diversification requirements and strategies;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higher yielding investment opportunities at a risk profile deemed similar to our sold loan portfolios;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borrower prepayment behavior within the underlying pools;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136" w:lineRule="exact"/>
        <w:rPr>
          <w:rFonts w:ascii="Arial" w:cs="Arial" w:eastAsia="Arial" w:hAnsi="Arial"/>
          <w:sz w:val="15"/>
          <w:szCs w:val="15"/>
          <w:color w:val="auto"/>
        </w:rPr>
      </w:pPr>
    </w:p>
    <w:p>
      <w:pPr>
        <w:ind w:left="62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warehouse financing and securitization markets, on terms they find acceptable to deliver an appropriate return net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costs, as well as general economic conditions and market trends, such as increasing interest rates, that affect the appetite for loan financing investments.</w:t>
      </w:r>
    </w:p>
    <w:p>
      <w:pPr>
        <w:spacing w:after="0" w:line="2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revenues, operations and returns. For example, as interest rates increased, loan investors reduced the 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Cross River Bank and one other bank partner account for a substantial portion of the total number of loans facilitated by our platform and our revenue.</w:t>
      </w:r>
    </w:p>
    <w:p>
      <w:pPr>
        <w:spacing w:after="0" w:line="27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nine months ended September 30, 2021 and 2022, CRB originated 58% and 52%, respectively, of the Transaction Volume, Number of Loans. CRB also accounts for a large portion of our revenues. In the nine months ended September 30, 2021 and 2022, fees received from CRB accounted for 59% and 47%,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nine months ended September 30, 2021 and 2022, one other bank partner originated 34% and 36% of the Transaction Volume, Number of Loans, respectively. In the nine months ended September 30, 2021 and 2022, the fees received from this bank partner accounted for 25% and 29% of our total revenue, respectively.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sales and onboarding process of new bank partners could take longer than expected, leading to fluctuations or variability in expected revenues and results of operations.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sales and onboarding process with new bank partners can be long and generally takes approximately three to 12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platform and the volume of fees we will receive, which can lead to fluctuations in our revenues and results of operations.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For example, in response to the initial outbreak of the COVID-19 pandemic, bank partners tightened their credit requirements or paused originations, and investors in our loan funding programs temporarily suspended making investments in Upstart-powered loans.</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impact of the COVID-19 pandemic on the finances of borrowers on our platform has also been profound, as many have been, and may continue to be, impacted by unemployment, reduced earnings, inflation and/or elevated economic disruption and insecurity. 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or remain at pre-pandemic levels in the near term. An increase in the unemployment rate or other adverse economic effects related to the COVID-19 pandemic could increase the delinquency rate of borrowers of Upstart-powered loans or increase the rate of borrowers declaring bankruptcy, any of which could adversely affect the attractiveness of Upstart-powered loans to the investors in our loan funding programs. Last year, the federal government also discontinued most stimulus measures taken in response to the COVID-19 pandemic, which has led to, and may continue to lead to, increased delinquency and default rates of loans facilitated through our lending marketplace.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9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 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8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90"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temporary decreases in origination volumes on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for increased losses for new and existing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lower acceptance rates from borrowers;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temporary reduction in the availability of loan funding and liquidity from institutional investors and the capital markets;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restricted sales operations and marketing efforts, and a reduction in the effectiveness of such efforts in some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Furthermore, as a result of the COVID-19 pandemic, we required all employees who were able to do so to work remotely through the end of 2021 and have since continued to allow most employees the flexibility to work remotely going forward under our Digital First work model. It is possible that widespread remote work arrangements may have a long-term negative impact on our business. See the risk factor titled “—We have a limited history of operating with a Digital First workforce and the long-term impact on our business, financial condition and results of operations is uncertain.”</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01"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marketplace. We currently do not expect this to lead to a meaningful adverse effect on our business, but a continued rise in default rates, delinquencies, customer bankruptcies or charge-offs could lead to lower demand by our bank partners and institutional investors to fund loans facilitated through our marketplace, which would have an adverse effect on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model to underwrite and price unsecured closed-end loans. In June 2022, the second no-action letter was terminated upon our request. Our requested termination was driven by a need to keep the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21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Further, the agency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 Moreover, as noted above, the OCC has also indicated that it intends to use its supervisory authority to review bank third-party relationships with financial technology companies including a review of third-party business practices that could pose a risk of potential consumer harm that could impact the safety and soundness of the banks subject to agency supervision. Should the agency examine any of our bank partners, such examinations would, more than likely, involve a review of our business practices to determine whether they pose a risk to the safety and soundness of those bank partners.</w:t>
      </w:r>
    </w:p>
    <w:p>
      <w:pPr>
        <w:spacing w:after="0" w:line="19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have been subject to governmental inquiries as well, including an inquiry in June 2020 from the North Carolina Department of Justice regarding our role in facilitating the origination of loans for educational purposes.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While we expanded the type of loan products offered on our platform to include auto loans in 2020, made significant investments in Upstart Auto Retail in 2021 and continue to invest in developing new loan products such as small dollar loans and small business loans,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bank partners and institutional investors to fund loans facilitated through our marketplace, which would adversely affect our business, financial condition and results of operations.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2021, we continued to work on our auto loan product and made significant investments in Upstart Auto Retail. We are continuing to invest in developing new loan products and service offerings, which include small business loans and small dollar loans, and may expand to mortgages and other new products.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effectively manage our growth, our business, financial condition and results of operations could be adversely affected.</w:t>
      </w:r>
    </w:p>
    <w:p>
      <w:pPr>
        <w:spacing w:after="0" w:line="24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Over the last several years, we have experienced rapid growth in our business. Our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19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color w:val="auto"/>
        </w:rPr>
        <w:t>Our reputation and brand are important to our success, and if we are unable to continue developing our 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w:t>
      </w:r>
    </w:p>
    <w:p>
      <w:pPr>
        <w:spacing w:after="0" w:line="19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believe maintaining a strong brand and trustworthy reputation is critical to our success and our ability to attract borrowers to our platform, attract new bank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1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participate in our loan funding programs or reduce the number of potential borrowers who use our platform. Any of the foregoing could adversely affect our results of operations and financial condition.</w:t>
      </w:r>
    </w:p>
    <w:p>
      <w:pPr>
        <w:spacing w:after="0" w:line="19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95"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Any negative publicity or negative public perception of artificial intelligence could negatively impact demand for our AI lending marketplace, hinder our ability to attract new bank partners or slow the rate at which banks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platform, retain existing and attract new bank partners and achieve regulatory acceptance of our business.</w:t>
      </w:r>
    </w:p>
    <w:p>
      <w:pPr>
        <w:spacing w:after="0" w:line="19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also prepares and makes public periodic reports that summarize any general findings, recommendations and best practices, as well as any aspects of our AI model that raise particular fair lending concerns or implicate novel insights on educational equity that serve the public interest. While we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under the agreement were to raise significant fair lending concerns, raise questions about the use of AI or otherwise be viewed negatively for any reason, or if the third-party firm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19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Harm to our reputation can also arise from many other sources, including inaccurate or unfavorable statements made by securities analysts or others, failure by us or our bank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183"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color w:val="auto"/>
        </w:rPr>
        <w:t>Misconduct and errors by our employees, former employees, vendors, or service providers could harm our reputation and subject us to significant legal liability.</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operate in an industry in which integrity and the confidence of our borrowers and bank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bank partners and borrowers, and our ability to attract new bank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bank partners, reputational damage, regulatory intervention, and financial harm, which could negatively impact our business, results of operations, financial condition, and future prospects.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compete effectively in our target markets, our business, results of operations and financial condition could be harmed.</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inability to compete effectively could result in reduced loan volumes, reduced average size of loans facilitated on our platform, reduced fees, increased marketing and borrower acquisition costs or the failure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Upstart platform to achieve or maintain more widespread market acceptance, any of which could have an adverse effect on our business and results of operations.</w:t>
      </w:r>
    </w:p>
    <w:p>
      <w:pPr>
        <w:spacing w:after="0" w:line="266"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5"/>
          <w:szCs w:val="15"/>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Our business is heavily concentrated in U.S. consumer credit, and therefore our results are more susceptible to fluctuations in that market than a more diversified company.</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business concentration could have a material adverse effect on our business, results of operations, financial condition, and future prospects.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For example, in the third quarter of 2021, we experienced a temporary increase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98"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services and our ability to serve our bank partners, investors and borrowers whose loans we service may suffer, resulting in an adverse effect on our business.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Security breaches of borrowers’ confidential information that we store may harm our reputation, adversely affect our results of operations and expose us to liability.</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bank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8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8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3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lending marketplace or increase the costs of our loan funding programs.</w:t>
      </w:r>
    </w:p>
    <w:p>
      <w:pPr>
        <w:spacing w:after="0" w:line="198"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While auto loans issued through our lending platform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lending marketplace and increase the costs of our loan funding programs.</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5"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our loan funding programs, including asset-backed securitizations, pass-through certificate transactions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September 30, 2022, the number of repurchased Upstart-powered loans as a result of inaccurate representations and warranties represents less than 0.15%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0"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utilization of our financial resources for acquisitions or investments that may fail to realize the anticipated benefits;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coordination of technology, product development and sales and marketing functions and integration of administrative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transition of the acquired company’s borrowers to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attracting financing;</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effective controls, procedures and policies;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potential write-offs of loans or intangibles or other assets acquired in such transactions that may have an adverse effect on our results of operations in a given period;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assumption of contractual obligations that contain terms that are not beneficial to us, require us to license or waive intellectual property or increase our risk for liability;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Borrowers may prepay a loan at any time without penalty, which could reduce our servicing fees and deter our bank partners and investors from investing in loans facilitated through our lending marketplace.</w:t>
      </w:r>
    </w:p>
    <w:p>
      <w:pPr>
        <w:spacing w:after="0" w:line="20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marketing efforts and brand promotion activities may not be effective.</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Promoting awareness of our AI lending marketplace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marketplace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Unfavorable outcomes in legal proceedings may harm our business and results of operations.</w:t>
      </w:r>
    </w:p>
    <w:p>
      <w:pPr>
        <w:spacing w:after="0" w:line="24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9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have a limited history of operating with a Digital First workforce, and the long-term impact on our business, financial condition and results of operations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In June 2021, we announced a new Digital First work model pursuant to which remote work with less time in the office will become the primary experience for most of our employees, and we expect that our workforce will continue to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0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shift to a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related to a remote workforce,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In the event that another COVID-19 resurgence or other pandemic occurs, it could adversely impact the economy and negatively impact consumer confidence, and could negatively impact our operations and our products offered to borrowers and institutional investors, which could seriously harm our business.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If a natural disaster, power outage, connectivity issue, or other event occurred that impacted our employees’ ability to work remotely, it may be difficult or, in certain cases, impossible, for us to continue our business for a substantial period of time.</w:t>
      </w:r>
    </w:p>
    <w:p>
      <w:pPr>
        <w:spacing w:after="0" w:line="19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blizzards. Although we maintain a disaster response plan and insurance, such events could disrupt our business, the business of our bank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Between 2019 and 2021,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389"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and costly to protect our intellectual property rights, and we may not be able to ensure their protection.</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8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platform and internal systems rely on software that is highly technical, and if our software contains undetected errors, our business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aspects of our business processes include open source software, and any failure to comply with the terms of one or more of these open source licenses could negatively affect our business.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incorporate open source software into processes supporting our business. Such open source software may include software covered by licenses like the GNU General Public License and the Apache License.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open source licenses contain requirements that we make source code available at no cost for modifications or derivative works we create based upon the type of open source software we use.</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4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37"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typically with a hyperlink from such loan aggregator’s website to a landing page on our website. For example, a significant amount of our loan originations was derived from traffic from one of our partners, Credit Karma. Our most recent agreement with Credit Karma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has been directing more customer traffic to a program that hosts and aggregates the credit models of other loan providers directly on its platform for the purpose of giving credit offers. If traffic from Credit Karma decreases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18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87"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166"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marketplace or increase the number of Upstart-powered loans and adversely affect our business, financial condition and results of operations.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8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we may incur significant costs to resolve any such disruptions in service or failure to provide contracted services, which could adversely affect our business.</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7"/>
          <w:szCs w:val="17"/>
          <w:color w:val="auto"/>
        </w:rPr>
        <w:t>.</w:t>
      </w:r>
    </w:p>
    <w:p>
      <w:pPr>
        <w:spacing w:after="0" w:line="20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1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5"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186"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19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04"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Additionally, 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and other states may take different paths to promulgate similar “true lender” restrictions, and if not through a legislative path, impacted parties may have little to no advance notice of new restrictions and compliance obligations.</w:t>
      </w:r>
    </w:p>
    <w:p>
      <w:pPr>
        <w:spacing w:after="0" w:line="18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8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Upstart-powered loans are originated in reliance on the fact that our bank partners are the “true lenders” for such loans. That true lender status determines various Upstart-powered loan program details, including that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0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enacted in Maine.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counterparty risk with respect to the capped call transactions.</w:t>
      </w:r>
    </w:p>
    <w:p>
      <w:pPr>
        <w:spacing w:after="0" w:line="24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36"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6"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efforts and enhanced regulatory enforcement have resulted in us undertaking significant time-consuming and expensive operational and compliance efforts to operate in accordance with relevant laws,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subject to or facilitate compliance with a variety of federal, state, and local laws, including those related to consumer protection and loan financings.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bank partners are subject to include:</w:t>
      </w:r>
    </w:p>
    <w:p>
      <w:pPr>
        <w:spacing w:after="0" w:line="72" w:lineRule="exact"/>
        <w:rPr>
          <w:sz w:val="20"/>
          <w:szCs w:val="20"/>
          <w:color w:val="auto"/>
        </w:rPr>
      </w:pPr>
    </w:p>
    <w:p>
      <w:pPr>
        <w:jc w:val="both"/>
        <w:ind w:left="620" w:hanging="307"/>
        <w:spacing w:after="0" w:line="262"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20" w:hanging="307"/>
        <w:spacing w:after="0" w:line="262"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4"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1"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Arial" w:cs="Arial" w:eastAsia="Arial" w:hAnsi="Arial"/>
          <w:sz w:val="17"/>
          <w:szCs w:val="17"/>
          <w:color w:val="auto"/>
        </w:rPr>
      </w:pPr>
    </w:p>
    <w:p>
      <w:pPr>
        <w:ind w:left="620" w:right="280" w:hanging="307"/>
        <w:spacing w:after="0" w:line="281" w:lineRule="auto"/>
        <w:tabs>
          <w:tab w:leader="none" w:pos="61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61" w:lineRule="exact"/>
        <w:rPr>
          <w:rFonts w:ascii="Arial" w:cs="Arial" w:eastAsia="Arial" w:hAnsi="Arial"/>
          <w:sz w:val="16"/>
          <w:szCs w:val="16"/>
          <w:color w:val="auto"/>
        </w:rPr>
      </w:pPr>
    </w:p>
    <w:p>
      <w:pPr>
        <w:jc w:val="both"/>
        <w:ind w:left="620" w:hanging="307"/>
        <w:spacing w:after="0" w:line="25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79"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125"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7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54"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Right to Financial Privacy Act and similar state laws enacted to provide the financial records of financial institution customers a reasonable amount of privacy from government scrutiny;</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Bank Secrecy Act and the USA PATRIOT Act, which relate to compliance with anti-money laundering, borrower due diligence and record-keeping policies and procedures;</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state-specific and local laws and regulations.</w:t>
      </w:r>
    </w:p>
    <w:p>
      <w:pPr>
        <w:spacing w:after="0" w:line="243"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86"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Internet-based loan origination processes may give rise to greater risks than paper-based processes and may not always be allowed under state law.</w:t>
      </w:r>
    </w:p>
    <w:p>
      <w:pPr>
        <w:spacing w:after="0" w:line="27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banking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banking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9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The agency also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the authority of states to enforce requirements of federal consumer financial laws including ECOA.</w:t>
      </w:r>
    </w:p>
    <w:p>
      <w:pPr>
        <w:spacing w:after="0" w:line="21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been in the past and may in the future be subject to federal and state regulatory inquiries regarding our business.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0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will create a state agency to enforce privacy laws. The CPRA creates obligations relating to consumer data beginning on January 1, 2023 (with a one-year lookback), and enforcement beginning July 1, 2023. On July 8, 2022, the California Privacy Protection Agency began the formal rulemaking process to adopt regulations to implement the CPRA. Following the enactment of the CCPA, in March 2021, Virginia enacted the Virginia Consumer Data Protection Act of 2021, or VCDPA; in June 2021 Colorado enacted the Colorado Privacy Act, or CPA; in March 2022, Utah, enacted the Utah Consumer Privacy Act, or UCPA; and in May 2022, Connecticut enacted a similar law, An Act Concerning Personal Data Privacy and Online Monitoring, or CTDPA. The VCDPA goes into effect on January 1, 2023, and the CPA and CTDPA both go into effect on July 31, 2023. The UCPA will go into effect December 31, 2023.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We cannot fully predict the impact of the CCPA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or regulations are adopted or if existing legislation or regulations are modified such that we are required to alter our systems or change our business practices or privacy policies. For example, in June 2022, key House and Senate committee leaders released a bipartisan discussion draft for a comprehensive federal privacy bill titled the “American Data Privacy and Protection Act,” which would provide a national standard on what data companies can gather from individuals and how they can use it and would preempt some state privacy legislation. Should the bill become law, it may significantly impact our data collection, storage and management practices.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83"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8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For example, the exemptive order limits the percentage of loans that we may retain, subject to certain conditions. Recently, in response to constrained loan funding, we have increased the percentage of loans retained by Upstart to support short-term funding requirements of loans that would otherwise be held by institutional investors. If we continue to increase the percentage of loans retained by us, it could result in us no longer meeting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required to register with the SEC or under state securities laws as a broker-dealer, our ability to conduct business could be materially adversely affected.</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198"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
        <w:spacing w:after="0" w:line="258" w:lineRule="auto"/>
        <w:tabs>
          <w:tab w:leader="none" w:pos="287"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0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RISKS RELATED TO INDEBTEDNESS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borrowings under our warehouse credit facilities to fund certain aspects of our operations, and any inability to meet our obligations as they come due or to comply with various covenants could harm our business.</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Under our warehouse credit facility for unsecured personal loans (the “ULT Warehouse Credit Facility”), we may borrow from an aggregate of $175.0 million financing capacity of which $100.0 million is committed and $75.0 million is uncommitted until the earlier of June 15, 2023, or an accelerated amortization event. Any outstanding principal, together with any accrued and unpaid interest, are due and payable by the warehouse trust special purpose entity in June 2024. As of September 30, 2022, the amount borrowed under the ULT Warehouse Credit Facility was $100.5 million, and $147.2 million of aggregated fair value of loans purchased were pledged as collateral. Under our warehouse facility for auto loans (the “UAWT Warehouse Credit Facility”), we may borrow up to $200.0 million until December 2022, and any outstanding principal, together with any accrued and unpaid interest, are due and payable by the warehouse trust special purpose entity twelve months after the determined amortization date. As of September 30, 2022, the amount borrowed under the UAWT Warehouse Credit Facility was $169.2 million, and $250.3 million of aggregated fair value of loans purchased were pledged as collateral.</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warehouse credit facilities impose operating and financial covenants on the applicable warehouse trust special purpose entity, and under certain events of default, the applicable lender could require that all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8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195"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in August 2021, we issued $661.3 million aggregate principal amount of 0.25% convertible senior notes due 2026, or Notes (including the exercise in full of the initial purchasers’ option of an additional $86.3 million aggregate principal of additional Notes). 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the conversion of the Notes at their maturity or to repurchase the Notes. Holders of the Notes may require us to purchase all or a portion of their Notes upon the occurrence of a fundamental change before the maturity date at a fundamental change repurchase price equal to 100% of the principal amount of the Notes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the indenture for the Notes may deter or prevent a business combination that may be favorable to you.</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RISKS RELATED TO TAXES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September 30, 2022,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196"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tax laws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may face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our common stock may be volatile,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2" w:lineRule="exact"/>
        <w:rPr>
          <w:sz w:val="20"/>
          <w:szCs w:val="20"/>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financial technology stocks;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financial technology companies and technology companies that offer services to financial institutions;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issuance of shares of our common stock, whether in connection with an acquisition or upon conversion of some or all of the outstanding Notes;</w:t>
      </w:r>
    </w:p>
    <w:p>
      <w:pPr>
        <w:spacing w:after="0" w:line="125" w:lineRule="exact"/>
        <w:rPr>
          <w:rFonts w:ascii="Arial" w:cs="Arial" w:eastAsia="Arial" w:hAnsi="Arial"/>
          <w:sz w:val="16"/>
          <w:szCs w:val="16"/>
          <w:color w:val="auto"/>
        </w:rPr>
      </w:pPr>
    </w:p>
    <w:p>
      <w:pPr>
        <w:ind w:left="620" w:hanging="307"/>
        <w:spacing w:after="0" w:line="27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prevailing interest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quarterly fluctuations in demand for the loans we facilitate through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compliance with government policies or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issuance of any cease-and-desist orders from regulatory agencies that we are subject to;</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market perception of the accuracy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perceived data security breaches or other data security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political unrest, natural disasters, pandemics or responses to these events;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conditions, such as rising interest and inflation rates, and slow or negative growth of our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189"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6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capped call transactions may affect the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expected to offset the potential dilution and/or offset any cash payments we make in excess of the aggregate principal amount of converted Notes, as the case may be, as a result of conversion of the Notes.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This activity could also cause or prevent an increase or a decrease in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insiders have significant voting power, which could limit your ability to influence the outcome of key transactions, including a change of control.</w:t>
      </w:r>
    </w:p>
    <w:p>
      <w:pPr>
        <w:spacing w:after="0" w:line="27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does not provide any rights directly related to the loans we hold.</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6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amended and restated certificate of incorporation authorizes us to issue 618,168,822 shares of authorized but unissued common stock and rights relating to common stock for the consideration and on the terms and conditions established by our Board of Directors in its sole discretion, whether in connection with acquisitions or otherwise. We have reserved 8,920.902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and restated certificate of incorporation and amended and restated bylaws contain provisions that may make the acquisition of our company more difficult, including the following:</w:t>
      </w:r>
    </w:p>
    <w:p>
      <w:pPr>
        <w:spacing w:after="0" w:line="61" w:lineRule="exact"/>
        <w:rPr>
          <w:sz w:val="20"/>
          <w:szCs w:val="20"/>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only the Chair of our Board of Directors, our Chief Executive Officer, or a majority of our entire Board of Directors are authorized to call a special meeting of stockholders;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 and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requirements of being a public company may strain our resources, divert management’s attention and affect our ability to attract and retain qualified board members.</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management team has limited experience managing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00" w:firstLine="619"/>
        <w:spacing w:after="0" w:line="318"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do not intend to pay dividends for the foreseeable future.</w:t>
      </w:r>
    </w:p>
    <w:p>
      <w:pPr>
        <w:spacing w:after="0" w:line="249" w:lineRule="exact"/>
        <w:rPr>
          <w:sz w:val="20"/>
          <w:szCs w:val="20"/>
          <w:color w:val="auto"/>
        </w:rPr>
      </w:pPr>
    </w:p>
    <w:p>
      <w:pPr>
        <w:jc w:val="both"/>
        <w:ind w:right="100" w:firstLine="619"/>
        <w:spacing w:after="0" w:line="283"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9"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following table presents information with respect to the Company’s repurchases of common stock under our share repurchase program, on a trade date basis, during the three months ended September 30, 2022:</w:t>
      </w:r>
    </w:p>
    <w:p>
      <w:pPr>
        <w:sectPr>
          <w:pgSz w:w="11900" w:h="16838" w:orient="portrait"/>
          <w:cols w:equalWidth="0" w:num="1">
            <w:col w:w="11340"/>
          </w:cols>
          <w:pgMar w:left="320" w:top="1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Period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July 1, 2022 through July 31, 2022</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August 1, 2022 through August 31, 2022</w:t>
      </w:r>
    </w:p>
    <w:p>
      <w:pPr>
        <w:spacing w:after="0" w:line="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September 1, 2022 through September 30, 2022</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Total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Total Number of Shares</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Approximate Dollar</w:t>
            </w:r>
          </w:p>
        </w:tc>
        <w:tc>
          <w:tcPr>
            <w:tcW w:w="0" w:type="dxa"/>
            <w:vAlign w:val="bottom"/>
          </w:tcPr>
          <w:p>
            <w:pPr>
              <w:spacing w:after="0"/>
              <w:rPr>
                <w:sz w:val="1"/>
                <w:szCs w:val="1"/>
                <w:color w:val="auto"/>
              </w:rPr>
            </w:pPr>
          </w:p>
        </w:tc>
      </w:tr>
      <w:tr>
        <w:trPr>
          <w:trHeight w:val="168"/>
        </w:trPr>
        <w:tc>
          <w:tcPr>
            <w:tcW w:w="17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3"/>
              </w:rPr>
              <w:t>Total Number of</w:t>
            </w:r>
          </w:p>
        </w:tc>
        <w:tc>
          <w:tcPr>
            <w:tcW w:w="240" w:type="dxa"/>
            <w:vAlign w:val="bottom"/>
          </w:tcPr>
          <w:p>
            <w:pPr>
              <w:spacing w:after="0"/>
              <w:rPr>
                <w:sz w:val="14"/>
                <w:szCs w:val="14"/>
                <w:color w:val="auto"/>
              </w:rPr>
            </w:pPr>
          </w:p>
        </w:tc>
        <w:tc>
          <w:tcPr>
            <w:tcW w:w="130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w w:val="89"/>
              </w:rPr>
              <w:t>Average Price</w:t>
            </w:r>
          </w:p>
        </w:tc>
        <w:tc>
          <w:tcPr>
            <w:tcW w:w="2160" w:type="dxa"/>
            <w:vAlign w:val="bottom"/>
            <w:gridSpan w:val="2"/>
          </w:tcPr>
          <w:p>
            <w:pPr>
              <w:jc w:val="center"/>
              <w:ind w:right="80"/>
              <w:spacing w:after="0" w:line="167" w:lineRule="exact"/>
              <w:rPr>
                <w:sz w:val="20"/>
                <w:szCs w:val="20"/>
                <w:color w:val="auto"/>
              </w:rPr>
            </w:pPr>
            <w:r>
              <w:rPr>
                <w:rFonts w:ascii="Arial" w:cs="Arial" w:eastAsia="Arial" w:hAnsi="Arial"/>
                <w:sz w:val="17"/>
                <w:szCs w:val="17"/>
                <w:b w:val="1"/>
                <w:bCs w:val="1"/>
                <w:color w:val="auto"/>
                <w:w w:val="89"/>
              </w:rPr>
              <w:t>Purchased as Part of</w:t>
            </w:r>
          </w:p>
        </w:tc>
        <w:tc>
          <w:tcPr>
            <w:tcW w:w="1520" w:type="dxa"/>
            <w:vAlign w:val="bottom"/>
            <w:gridSpan w:val="2"/>
          </w:tcPr>
          <w:p>
            <w:pPr>
              <w:jc w:val="right"/>
              <w:spacing w:after="0" w:line="167" w:lineRule="exact"/>
              <w:rPr>
                <w:sz w:val="20"/>
                <w:szCs w:val="20"/>
                <w:color w:val="auto"/>
              </w:rPr>
            </w:pPr>
            <w:r>
              <w:rPr>
                <w:rFonts w:ascii="Arial" w:cs="Arial" w:eastAsia="Arial" w:hAnsi="Arial"/>
                <w:sz w:val="17"/>
                <w:szCs w:val="17"/>
                <w:b w:val="1"/>
                <w:bCs w:val="1"/>
                <w:color w:val="auto"/>
                <w:w w:val="95"/>
              </w:rPr>
              <w:t>of Shares that May</w:t>
            </w:r>
          </w:p>
        </w:tc>
        <w:tc>
          <w:tcPr>
            <w:tcW w:w="0" w:type="dxa"/>
            <w:vAlign w:val="bottom"/>
          </w:tcPr>
          <w:p>
            <w:pPr>
              <w:spacing w:after="0"/>
              <w:rPr>
                <w:sz w:val="1"/>
                <w:szCs w:val="1"/>
                <w:color w:val="auto"/>
              </w:rPr>
            </w:pPr>
          </w:p>
        </w:tc>
      </w:tr>
      <w:tr>
        <w:trPr>
          <w:trHeight w:val="168"/>
        </w:trPr>
        <w:tc>
          <w:tcPr>
            <w:tcW w:w="1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160" w:type="dxa"/>
            <w:vAlign w:val="bottom"/>
            <w:gridSpan w:val="2"/>
          </w:tcPr>
          <w:p>
            <w:pPr>
              <w:jc w:val="center"/>
              <w:ind w:right="80"/>
              <w:spacing w:after="0" w:line="167" w:lineRule="exact"/>
              <w:rPr>
                <w:sz w:val="20"/>
                <w:szCs w:val="20"/>
                <w:color w:val="auto"/>
              </w:rPr>
            </w:pPr>
            <w:r>
              <w:rPr>
                <w:rFonts w:ascii="Arial" w:cs="Arial" w:eastAsia="Arial" w:hAnsi="Arial"/>
                <w:sz w:val="17"/>
                <w:szCs w:val="17"/>
                <w:b w:val="1"/>
                <w:bCs w:val="1"/>
                <w:color w:val="auto"/>
                <w:w w:val="89"/>
              </w:rPr>
              <w:t>Publicly Announced Plans</w:t>
            </w:r>
          </w:p>
        </w:tc>
        <w:tc>
          <w:tcPr>
            <w:tcW w:w="1520" w:type="dxa"/>
            <w:vAlign w:val="bottom"/>
            <w:gridSpan w:val="2"/>
          </w:tcPr>
          <w:p>
            <w:pPr>
              <w:jc w:val="right"/>
              <w:spacing w:after="0" w:line="167" w:lineRule="exact"/>
              <w:rPr>
                <w:sz w:val="20"/>
                <w:szCs w:val="20"/>
                <w:color w:val="auto"/>
              </w:rPr>
            </w:pPr>
            <w:r>
              <w:rPr>
                <w:rFonts w:ascii="Arial" w:cs="Arial" w:eastAsia="Arial" w:hAnsi="Arial"/>
                <w:sz w:val="17"/>
                <w:szCs w:val="17"/>
                <w:b w:val="1"/>
                <w:bCs w:val="1"/>
                <w:color w:val="auto"/>
                <w:w w:val="91"/>
              </w:rPr>
              <w:t>Purchased Under th</w:t>
            </w:r>
          </w:p>
        </w:tc>
        <w:tc>
          <w:tcPr>
            <w:tcW w:w="0" w:type="dxa"/>
            <w:vAlign w:val="bottom"/>
          </w:tcPr>
          <w:p>
            <w:pPr>
              <w:spacing w:after="0"/>
              <w:rPr>
                <w:sz w:val="1"/>
                <w:szCs w:val="1"/>
                <w:color w:val="auto"/>
              </w:rPr>
            </w:pPr>
          </w:p>
        </w:tc>
      </w:tr>
      <w:tr>
        <w:trPr>
          <w:trHeight w:val="232"/>
        </w:trPr>
        <w:tc>
          <w:tcPr>
            <w:tcW w:w="1780" w:type="dxa"/>
            <w:vAlign w:val="bottom"/>
            <w:tcBorders>
              <w:bottom w:val="single" w:sz="8" w:color="auto"/>
            </w:tcBorders>
          </w:tcPr>
          <w:p>
            <w:pPr>
              <w:jc w:val="center"/>
              <w:spacing w:after="0" w:line="232" w:lineRule="exact"/>
              <w:rPr>
                <w:sz w:val="20"/>
                <w:szCs w:val="20"/>
                <w:color w:val="auto"/>
              </w:rPr>
            </w:pPr>
            <w:r>
              <w:rPr>
                <w:rFonts w:ascii="Arial" w:cs="Arial" w:eastAsia="Arial" w:hAnsi="Arial"/>
                <w:sz w:val="17"/>
                <w:szCs w:val="17"/>
                <w:b w:val="1"/>
                <w:bCs w:val="1"/>
                <w:color w:val="auto"/>
                <w:w w:val="86"/>
              </w:rPr>
              <w:t>Shares Purchased</w:t>
            </w:r>
            <w:r>
              <w:rPr>
                <w:rFonts w:ascii="Arial" w:cs="Arial" w:eastAsia="Arial" w:hAnsi="Arial"/>
                <w:sz w:val="22"/>
                <w:szCs w:val="22"/>
                <w:b w:val="1"/>
                <w:bCs w:val="1"/>
                <w:color w:val="auto"/>
                <w:w w:val="86"/>
                <w:vertAlign w:val="superscript"/>
              </w:rPr>
              <w:t>(1)</w:t>
            </w:r>
          </w:p>
        </w:tc>
        <w:tc>
          <w:tcPr>
            <w:tcW w:w="1540" w:type="dxa"/>
            <w:vAlign w:val="bottom"/>
            <w:tcBorders>
              <w:bottom w:val="single" w:sz="8" w:color="auto"/>
            </w:tcBorders>
            <w:gridSpan w:val="2"/>
          </w:tcPr>
          <w:p>
            <w:pPr>
              <w:jc w:val="right"/>
              <w:ind w:right="74"/>
              <w:spacing w:after="0" w:line="232" w:lineRule="exact"/>
              <w:rPr>
                <w:sz w:val="20"/>
                <w:szCs w:val="20"/>
                <w:color w:val="auto"/>
              </w:rPr>
            </w:pPr>
            <w:r>
              <w:rPr>
                <w:rFonts w:ascii="Arial" w:cs="Arial" w:eastAsia="Arial" w:hAnsi="Arial"/>
                <w:sz w:val="17"/>
                <w:szCs w:val="17"/>
                <w:b w:val="1"/>
                <w:bCs w:val="1"/>
                <w:color w:val="auto"/>
                <w:w w:val="99"/>
              </w:rPr>
              <w:t>Paid per Share</w:t>
            </w:r>
            <w:r>
              <w:rPr>
                <w:rFonts w:ascii="Arial" w:cs="Arial" w:eastAsia="Arial" w:hAnsi="Arial"/>
                <w:sz w:val="22"/>
                <w:szCs w:val="22"/>
                <w:b w:val="1"/>
                <w:bCs w:val="1"/>
                <w:color w:val="auto"/>
                <w:w w:val="99"/>
                <w:vertAlign w:val="superscript"/>
              </w:rPr>
              <w:t>(2)</w:t>
            </w:r>
          </w:p>
        </w:tc>
        <w:tc>
          <w:tcPr>
            <w:tcW w:w="21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90"/>
              </w:rPr>
              <w:t>or Programs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or Programs</w:t>
            </w:r>
          </w:p>
        </w:tc>
        <w:tc>
          <w:tcPr>
            <w:tcW w:w="0" w:type="dxa"/>
            <w:vAlign w:val="bottom"/>
          </w:tcPr>
          <w:p>
            <w:pPr>
              <w:spacing w:after="0"/>
              <w:rPr>
                <w:sz w:val="1"/>
                <w:szCs w:val="1"/>
                <w:color w:val="auto"/>
              </w:rPr>
            </w:pPr>
          </w:p>
        </w:tc>
      </w:tr>
      <w:tr>
        <w:trPr>
          <w:trHeight w:val="210"/>
        </w:trPr>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3"/>
          </w:tcPr>
          <w:p>
            <w:pPr>
              <w:ind w:left="340"/>
              <w:spacing w:after="0"/>
              <w:rPr>
                <w:sz w:val="20"/>
                <w:szCs w:val="20"/>
                <w:color w:val="auto"/>
              </w:rPr>
            </w:pPr>
            <w:r>
              <w:rPr>
                <w:rFonts w:ascii="Arial" w:cs="Arial" w:eastAsia="Arial" w:hAnsi="Arial"/>
                <w:sz w:val="17"/>
                <w:szCs w:val="17"/>
                <w:color w:val="auto"/>
                <w:w w:val="98"/>
              </w:rPr>
              <w:t>(in thousands, except per share amounts)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80" w:type="dxa"/>
            <w:vAlign w:val="bottom"/>
          </w:tcPr>
          <w:p>
            <w:pPr>
              <w:jc w:val="right"/>
              <w:spacing w:after="0"/>
              <w:rPr>
                <w:sz w:val="20"/>
                <w:szCs w:val="20"/>
                <w:color w:val="auto"/>
              </w:rPr>
            </w:pPr>
            <w:r>
              <w:rPr>
                <w:rFonts w:ascii="Arial" w:cs="Arial" w:eastAsia="Arial" w:hAnsi="Arial"/>
                <w:sz w:val="17"/>
                <w:szCs w:val="17"/>
                <w:color w:val="auto"/>
              </w:rPr>
              <w:t>925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26.87</w:t>
            </w:r>
          </w:p>
        </w:tc>
        <w:tc>
          <w:tcPr>
            <w:tcW w:w="2080" w:type="dxa"/>
            <w:vAlign w:val="bottom"/>
          </w:tcPr>
          <w:p>
            <w:pPr>
              <w:jc w:val="right"/>
              <w:spacing w:after="0"/>
              <w:rPr>
                <w:sz w:val="20"/>
                <w:szCs w:val="20"/>
                <w:color w:val="auto"/>
              </w:rPr>
            </w:pPr>
            <w:r>
              <w:rPr>
                <w:rFonts w:ascii="Arial" w:cs="Arial" w:eastAsia="Arial" w:hAnsi="Arial"/>
                <w:sz w:val="17"/>
                <w:szCs w:val="17"/>
                <w:color w:val="auto"/>
              </w:rPr>
              <w:t>925</w:t>
            </w:r>
          </w:p>
        </w:tc>
        <w:tc>
          <w:tcPr>
            <w:tcW w:w="8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20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2500" w:type="dxa"/>
            <w:vAlign w:val="bottom"/>
            <w:gridSpan w:val="3"/>
          </w:tcPr>
          <w:p>
            <w:pPr>
              <w:jc w:val="right"/>
              <w:ind w:right="154"/>
              <w:spacing w:after="0"/>
              <w:rPr>
                <w:sz w:val="20"/>
                <w:szCs w:val="20"/>
                <w:color w:val="auto"/>
              </w:rPr>
            </w:pPr>
            <w:r>
              <w:rPr>
                <w:rFonts w:ascii="Arial" w:cs="Arial" w:eastAsia="Arial" w:hAnsi="Arial"/>
                <w:sz w:val="17"/>
                <w:szCs w:val="17"/>
                <w:color w:val="auto"/>
              </w:rPr>
              <w:t>—  $</w:t>
            </w: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20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2500" w:type="dxa"/>
            <w:vAlign w:val="bottom"/>
            <w:gridSpan w:val="3"/>
          </w:tcPr>
          <w:p>
            <w:pPr>
              <w:jc w:val="right"/>
              <w:ind w:right="154"/>
              <w:spacing w:after="0"/>
              <w:rPr>
                <w:sz w:val="20"/>
                <w:szCs w:val="20"/>
                <w:color w:val="auto"/>
              </w:rPr>
            </w:pPr>
            <w:r>
              <w:rPr>
                <w:rFonts w:ascii="Arial" w:cs="Arial" w:eastAsia="Arial" w:hAnsi="Arial"/>
                <w:sz w:val="17"/>
                <w:szCs w:val="17"/>
                <w:color w:val="auto"/>
              </w:rPr>
              <w:t>—  $</w:t>
            </w: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925</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925</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-596900</wp:posOffset>
            </wp:positionV>
            <wp:extent cx="6805930" cy="139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5930" cy="13906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-318770</wp:posOffset>
            </wp:positionV>
            <wp:extent cx="6805930" cy="139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3940" w:space="400"/>
            <w:col w:w="7000"/>
          </w:cols>
          <w:pgMar w:left="320" w:top="179" w:right="239" w:bottom="1440" w:gutter="0" w:footer="0" w:header="0"/>
          <w:type w:val="continuous"/>
        </w:sectPr>
      </w:pPr>
    </w:p>
    <w:p>
      <w:pPr>
        <w:jc w:val="both"/>
        <w:ind w:left="460" w:right="100" w:hanging="457"/>
        <w:spacing w:after="0" w:line="245" w:lineRule="auto"/>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February 2022, the board of directors authorized the Company to purchase up to $400.0 million of common stock of the Company. The repurchases may be executed from time to time through open market purchases, in privately negotiated transactions or by other means, including through the use of trading plans intended to qualify under Rule 10b5-1. The repurchase program does not obligate the Company to acquire any particular amount of common stock, has no expiration date, and may be modified, suspended or terminated at any time at the Company’s discretion. See “</w:t>
      </w:r>
      <w:r>
        <w:rPr>
          <w:rFonts w:ascii="Arial" w:cs="Arial" w:eastAsia="Arial" w:hAnsi="Arial"/>
          <w:sz w:val="14"/>
          <w:szCs w:val="14"/>
          <w:i w:val="1"/>
          <w:iCs w:val="1"/>
          <w:color w:val="auto"/>
        </w:rPr>
        <w:t>Note 9. Stockholders' Equity</w:t>
      </w:r>
      <w:r>
        <w:rPr>
          <w:rFonts w:ascii="Arial" w:cs="Arial" w:eastAsia="Arial" w:hAnsi="Arial"/>
          <w:sz w:val="14"/>
          <w:szCs w:val="14"/>
          <w:color w:val="auto"/>
        </w:rPr>
        <w:t>” for details related to the repurchase program.</w:t>
      </w:r>
    </w:p>
    <w:p>
      <w:pPr>
        <w:ind w:left="460" w:hanging="457"/>
        <w:spacing w:after="0"/>
        <w:tabs>
          <w:tab w:leader="none" w:pos="4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Average price paid per share includes commission costs associated with the repurchases.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below are filed as part of this Quarterly Report on Form 10-Q or are incorporated herein by reference, in each case as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12529"/>
        </w:rPr>
        <w:t>EXHIBIT INDEX</w:t>
      </w:r>
    </w:p>
    <w:p>
      <w:pPr>
        <w:spacing w:after="0" w:line="294"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Incorporated by Reference</w:t>
      </w:r>
    </w:p>
    <w:p>
      <w:pPr>
        <w:sectPr>
          <w:pgSz w:w="11900" w:h="16838" w:orient="portrait"/>
          <w:cols w:equalWidth="0" w:num="1">
            <w:col w:w="11240"/>
          </w:cols>
          <w:pgMar w:left="320" w:top="179" w:right="339" w:bottom="1440" w:gutter="0" w:footer="0" w:header="0"/>
        </w:sectPr>
      </w:pPr>
    </w:p>
    <w:p>
      <w:pPr>
        <w:spacing w:after="0" w:line="29"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Exhibit</w:t>
      </w:r>
    </w:p>
    <w:p>
      <w:pPr>
        <w:jc w:val="right"/>
        <w:spacing w:after="0"/>
        <w:rPr>
          <w:sz w:val="20"/>
          <w:szCs w:val="20"/>
          <w:color w:val="auto"/>
        </w:rPr>
      </w:pPr>
      <w:r>
        <w:rPr>
          <w:rFonts w:ascii="Arial" w:cs="Arial" w:eastAsia="Arial" w:hAnsi="Arial"/>
          <w:sz w:val="17"/>
          <w:szCs w:val="17"/>
          <w:b w:val="1"/>
          <w:bCs w:val="1"/>
          <w:color w:val="auto"/>
        </w:rPr>
        <w:t>Number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left="1800"/>
        <w:spacing w:after="0"/>
        <w:tabs>
          <w:tab w:leader="none" w:pos="4760" w:val="left"/>
          <w:tab w:leader="none" w:pos="5880" w:val="left"/>
          <w:tab w:leader="none" w:pos="7120" w:val="left"/>
          <w:tab w:leader="none" w:pos="8580" w:val="left"/>
        </w:tabs>
        <w:rPr>
          <w:sz w:val="20"/>
          <w:szCs w:val="20"/>
          <w:color w:val="auto"/>
        </w:rPr>
      </w:pPr>
      <w:r>
        <w:rPr>
          <w:rFonts w:ascii="Arial" w:cs="Arial" w:eastAsia="Arial" w:hAnsi="Arial"/>
          <w:sz w:val="17"/>
          <w:szCs w:val="17"/>
          <w:b w:val="1"/>
          <w:bCs w:val="1"/>
          <w:color w:val="auto"/>
        </w:rPr>
        <w:t>Description</w:t>
      </w:r>
      <w:r>
        <w:rPr>
          <w:sz w:val="20"/>
          <w:szCs w:val="20"/>
          <w:color w:val="auto"/>
        </w:rPr>
        <w:tab/>
      </w:r>
      <w:r>
        <w:rPr>
          <w:rFonts w:ascii="Arial" w:cs="Arial" w:eastAsia="Arial" w:hAnsi="Arial"/>
          <w:sz w:val="17"/>
          <w:szCs w:val="17"/>
          <w:b w:val="1"/>
          <w:bCs w:val="1"/>
          <w:color w:val="auto"/>
        </w:rPr>
        <w:t>Form</w:t>
      </w:r>
      <w:r>
        <w:rPr>
          <w:sz w:val="20"/>
          <w:szCs w:val="20"/>
          <w:color w:val="auto"/>
        </w:rPr>
        <w:tab/>
      </w:r>
      <w:r>
        <w:rPr>
          <w:rFonts w:ascii="Arial" w:cs="Arial" w:eastAsia="Arial" w:hAnsi="Arial"/>
          <w:sz w:val="17"/>
          <w:szCs w:val="17"/>
          <w:b w:val="1"/>
          <w:bCs w:val="1"/>
          <w:color w:val="auto"/>
        </w:rPr>
        <w:t>File No.</w:t>
      </w:r>
      <w:r>
        <w:rPr>
          <w:sz w:val="20"/>
          <w:szCs w:val="20"/>
          <w:color w:val="auto"/>
        </w:rPr>
        <w:tab/>
      </w: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18415</wp:posOffset>
            </wp:positionV>
            <wp:extent cx="7138670" cy="417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670" cy="41719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-234315</wp:posOffset>
            </wp:positionV>
            <wp:extent cx="28816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Amendment No. 2 to Second Amended and Restated Promotion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Agreement, dated August 9, 2022, between Upstart Network,</w:t>
      </w:r>
    </w:p>
    <w:p>
      <w:pPr>
        <w:spacing w:after="0"/>
        <w:rPr>
          <w:sz w:val="20"/>
          <w:szCs w:val="20"/>
          <w:color w:val="auto"/>
        </w:rPr>
      </w:pPr>
      <w:r>
        <w:rPr>
          <w:rFonts w:ascii="Arial" w:cs="Arial" w:eastAsia="Arial" w:hAnsi="Arial"/>
          <w:sz w:val="17"/>
          <w:szCs w:val="17"/>
          <w:u w:val="single" w:color="auto"/>
          <w:color w:val="0000FF"/>
        </w:rPr>
        <w:t>Inc. and Credit Karma Offers, Inc.</w:t>
      </w:r>
    </w:p>
    <w:p>
      <w:pPr>
        <w:spacing w:after="0" w:line="35" w:lineRule="exact"/>
        <w:rPr>
          <w:sz w:val="20"/>
          <w:szCs w:val="20"/>
          <w:color w:val="auto"/>
        </w:rPr>
      </w:pPr>
    </w:p>
    <w:p>
      <w:pPr>
        <w:sectPr>
          <w:pgSz w:w="11900" w:h="16838" w:orient="portrait"/>
          <w:cols w:equalWidth="0" w:num="2">
            <w:col w:w="860" w:space="340"/>
            <w:col w:w="10040"/>
          </w:cols>
          <w:pgMar w:left="320" w:top="179"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u w:val="single" w:color="auto"/>
          <w:color w:val="0000FF"/>
        </w:rPr>
        <w:t>Amendment No. 3 to Third Amended and Restated Loan Sale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Agreement, dated September 30, 2022, between Upstart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Network, Inc. and Cross River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22225</wp:posOffset>
            </wp:positionV>
            <wp:extent cx="7138670" cy="409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670" cy="40957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Amendment No. 4 to Third Amended and Restated Loan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Program Agreement, dated September 30, 2022, between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Upstart Network, Inc. and Cross River Bank.</w:t>
      </w:r>
    </w:p>
    <w:p>
      <w:pPr>
        <w:spacing w:after="0" w:line="33" w:lineRule="exact"/>
        <w:rPr>
          <w:sz w:val="20"/>
          <w:szCs w:val="20"/>
          <w:color w:val="auto"/>
        </w:rPr>
      </w:pPr>
    </w:p>
    <w:p>
      <w:pPr>
        <w:sectPr>
          <w:pgSz w:w="11900" w:h="16838" w:orient="portrait"/>
          <w:cols w:equalWidth="0" w:num="2">
            <w:col w:w="480" w:space="720"/>
            <w:col w:w="1004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200" w:type="dxa"/>
            <w:vAlign w:val="bottom"/>
          </w:tcPr>
          <w:p>
            <w:pPr>
              <w:ind w:left="20"/>
              <w:spacing w:after="0"/>
              <w:rPr>
                <w:sz w:val="20"/>
                <w:szCs w:val="20"/>
                <w:color w:val="auto"/>
              </w:rPr>
            </w:pPr>
            <w:r>
              <w:rPr>
                <w:rFonts w:ascii="Arial" w:cs="Arial" w:eastAsia="Arial" w:hAnsi="Arial"/>
                <w:sz w:val="17"/>
                <w:szCs w:val="17"/>
                <w:color w:val="auto"/>
              </w:rPr>
              <w:t>10.4*</w:t>
            </w:r>
          </w:p>
        </w:tc>
        <w:tc>
          <w:tcPr>
            <w:tcW w:w="43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Small Business Loan Program Agreement Addendum to Third</w:t>
            </w:r>
          </w:p>
        </w:tc>
        <w:tc>
          <w:tcPr>
            <w:tcW w:w="5740" w:type="dxa"/>
            <w:vAlign w:val="bottom"/>
            <w:gridSpan w:val="4"/>
          </w:tcPr>
          <w:p>
            <w:pPr>
              <w:spacing w:after="0"/>
              <w:rPr>
                <w:sz w:val="16"/>
                <w:szCs w:val="16"/>
                <w:color w:val="auto"/>
              </w:rPr>
            </w:pPr>
          </w:p>
        </w:tc>
      </w:tr>
      <w:tr>
        <w:trPr>
          <w:trHeight w:val="173"/>
        </w:trPr>
        <w:tc>
          <w:tcPr>
            <w:tcW w:w="1200" w:type="dxa"/>
            <w:vAlign w:val="bottom"/>
          </w:tcPr>
          <w:p>
            <w:pPr>
              <w:spacing w:after="0"/>
              <w:rPr>
                <w:sz w:val="15"/>
                <w:szCs w:val="15"/>
                <w:color w:val="auto"/>
              </w:rPr>
            </w:pPr>
          </w:p>
        </w:tc>
        <w:tc>
          <w:tcPr>
            <w:tcW w:w="4240" w:type="dxa"/>
            <w:vAlign w:val="bottom"/>
            <w:tcBorders>
              <w:bottom w:val="single" w:sz="8" w:color="0000FF"/>
            </w:tcBorders>
            <w:gridSpan w:val="6"/>
          </w:tcPr>
          <w:p>
            <w:pPr>
              <w:spacing w:after="0" w:line="173" w:lineRule="exact"/>
              <w:rPr>
                <w:sz w:val="20"/>
                <w:szCs w:val="20"/>
                <w:color w:val="auto"/>
              </w:rPr>
            </w:pPr>
            <w:r>
              <w:rPr>
                <w:rFonts w:ascii="Arial" w:cs="Arial" w:eastAsia="Arial" w:hAnsi="Arial"/>
                <w:sz w:val="17"/>
                <w:szCs w:val="17"/>
                <w:color w:val="0000FF"/>
                <w:w w:val="89"/>
              </w:rPr>
              <w:t>Amended and Restated Loan Program Agreement, dated June</w:t>
            </w:r>
          </w:p>
        </w:tc>
        <w:tc>
          <w:tcPr>
            <w:tcW w:w="5800" w:type="dxa"/>
            <w:vAlign w:val="bottom"/>
            <w:gridSpan w:val="5"/>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0040" w:type="dxa"/>
            <w:vAlign w:val="bottom"/>
            <w:gridSpan w:val="11"/>
          </w:tcPr>
          <w:p>
            <w:pPr>
              <w:spacing w:after="0" w:line="173" w:lineRule="exact"/>
              <w:rPr>
                <w:sz w:val="20"/>
                <w:szCs w:val="20"/>
                <w:color w:val="auto"/>
              </w:rPr>
            </w:pPr>
            <w:r>
              <w:rPr>
                <w:rFonts w:ascii="Arial" w:cs="Arial" w:eastAsia="Arial" w:hAnsi="Arial"/>
                <w:sz w:val="17"/>
                <w:szCs w:val="17"/>
                <w:color w:val="0000FF"/>
              </w:rPr>
              <w:t>28, 2022, between Upstart Network, Inc. and Cross River Bank.</w:t>
            </w:r>
          </w:p>
        </w:tc>
      </w:tr>
      <w:tr>
        <w:trPr>
          <w:trHeight w:val="44"/>
        </w:trPr>
        <w:tc>
          <w:tcPr>
            <w:tcW w:w="1200" w:type="dxa"/>
            <w:vAlign w:val="bottom"/>
          </w:tcPr>
          <w:p>
            <w:pPr>
              <w:spacing w:after="0"/>
              <w:rPr>
                <w:sz w:val="3"/>
                <w:szCs w:val="3"/>
                <w:color w:val="auto"/>
              </w:rPr>
            </w:pPr>
          </w:p>
        </w:tc>
        <w:tc>
          <w:tcPr>
            <w:tcW w:w="37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5620" w:type="dxa"/>
            <w:vAlign w:val="bottom"/>
          </w:tcPr>
          <w:p>
            <w:pPr>
              <w:spacing w:after="0"/>
              <w:rPr>
                <w:sz w:val="3"/>
                <w:szCs w:val="3"/>
                <w:color w:val="auto"/>
              </w:rPr>
            </w:pPr>
          </w:p>
        </w:tc>
      </w:tr>
      <w:tr>
        <w:trPr>
          <w:trHeight w:val="193"/>
        </w:trPr>
        <w:tc>
          <w:tcPr>
            <w:tcW w:w="1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10.5*</w:t>
            </w:r>
          </w:p>
        </w:tc>
        <w:tc>
          <w:tcPr>
            <w:tcW w:w="10040" w:type="dxa"/>
            <w:vAlign w:val="bottom"/>
            <w:gridSpan w:val="11"/>
            <w:shd w:val="clear" w:color="auto" w:fill="CCEEFF"/>
          </w:tcPr>
          <w:p>
            <w:pPr>
              <w:spacing w:after="0" w:line="194" w:lineRule="exact"/>
              <w:rPr>
                <w:sz w:val="20"/>
                <w:szCs w:val="20"/>
                <w:color w:val="auto"/>
              </w:rPr>
            </w:pPr>
            <w:r>
              <w:rPr>
                <w:rFonts w:ascii="Arial" w:cs="Arial" w:eastAsia="Arial" w:hAnsi="Arial"/>
                <w:sz w:val="17"/>
                <w:szCs w:val="17"/>
                <w:color w:val="0000FF"/>
              </w:rPr>
              <w:t>Small Business Loan Program Sale Agreement Addendum to</w:t>
            </w:r>
          </w:p>
        </w:tc>
      </w:tr>
      <w:tr>
        <w:trPr>
          <w:trHeight w:val="20"/>
        </w:trPr>
        <w:tc>
          <w:tcPr>
            <w:tcW w:w="1200" w:type="dxa"/>
            <w:vAlign w:val="bottom"/>
            <w:shd w:val="clear" w:color="auto" w:fill="CCEE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r>
      <w:tr>
        <w:trPr>
          <w:trHeight w:val="173"/>
        </w:trPr>
        <w:tc>
          <w:tcPr>
            <w:tcW w:w="1200" w:type="dxa"/>
            <w:vAlign w:val="bottom"/>
            <w:shd w:val="clear" w:color="auto" w:fill="CCEEFF"/>
          </w:tcPr>
          <w:p>
            <w:pPr>
              <w:spacing w:after="0"/>
              <w:rPr>
                <w:sz w:val="15"/>
                <w:szCs w:val="15"/>
                <w:color w:val="auto"/>
              </w:rPr>
            </w:pPr>
          </w:p>
        </w:tc>
        <w:tc>
          <w:tcPr>
            <w:tcW w:w="10040" w:type="dxa"/>
            <w:vAlign w:val="bottom"/>
            <w:gridSpan w:val="11"/>
            <w:shd w:val="clear" w:color="auto" w:fill="CCEEFF"/>
          </w:tcPr>
          <w:p>
            <w:pPr>
              <w:spacing w:after="0" w:line="173" w:lineRule="exact"/>
              <w:rPr>
                <w:sz w:val="20"/>
                <w:szCs w:val="20"/>
                <w:color w:val="auto"/>
              </w:rPr>
            </w:pPr>
            <w:r>
              <w:rPr>
                <w:rFonts w:ascii="Arial" w:cs="Arial" w:eastAsia="Arial" w:hAnsi="Arial"/>
                <w:sz w:val="17"/>
                <w:szCs w:val="17"/>
                <w:color w:val="0000FF"/>
              </w:rPr>
              <w:t>Third Amended and Restated Loan Sale Agreement, dated June</w:t>
            </w:r>
          </w:p>
        </w:tc>
      </w:tr>
      <w:tr>
        <w:trPr>
          <w:trHeight w:val="20"/>
        </w:trPr>
        <w:tc>
          <w:tcPr>
            <w:tcW w:w="1200" w:type="dxa"/>
            <w:vAlign w:val="bottom"/>
            <w:shd w:val="clear" w:color="auto" w:fill="CCEEFF"/>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r>
      <w:tr>
        <w:trPr>
          <w:trHeight w:val="218"/>
        </w:trPr>
        <w:tc>
          <w:tcPr>
            <w:tcW w:w="1200" w:type="dxa"/>
            <w:vAlign w:val="bottom"/>
            <w:tcBorders>
              <w:bottom w:val="single" w:sz="8" w:color="CCEEFF"/>
            </w:tcBorders>
            <w:shd w:val="clear" w:color="auto" w:fill="CCEEFF"/>
          </w:tcPr>
          <w:p>
            <w:pPr>
              <w:spacing w:after="0"/>
              <w:rPr>
                <w:sz w:val="18"/>
                <w:szCs w:val="18"/>
                <w:color w:val="auto"/>
              </w:rPr>
            </w:pPr>
          </w:p>
        </w:tc>
        <w:tc>
          <w:tcPr>
            <w:tcW w:w="4400" w:type="dxa"/>
            <w:vAlign w:val="bottom"/>
            <w:tcBorders>
              <w:bottom w:val="single" w:sz="8" w:color="0000FF"/>
            </w:tcBorders>
            <w:gridSpan w:val="9"/>
            <w:shd w:val="clear" w:color="auto" w:fill="CCEEFF"/>
          </w:tcPr>
          <w:p>
            <w:pPr>
              <w:spacing w:after="0" w:line="173" w:lineRule="exact"/>
              <w:rPr>
                <w:sz w:val="20"/>
                <w:szCs w:val="20"/>
                <w:color w:val="auto"/>
              </w:rPr>
            </w:pPr>
            <w:r>
              <w:rPr>
                <w:rFonts w:ascii="Arial" w:cs="Arial" w:eastAsia="Arial" w:hAnsi="Arial"/>
                <w:sz w:val="17"/>
                <w:szCs w:val="17"/>
                <w:color w:val="0000FF"/>
                <w:w w:val="91"/>
              </w:rPr>
              <w:t>28, 2022, between Upstart Network, Inc. and Cross River Bank.</w:t>
            </w:r>
          </w:p>
        </w:tc>
        <w:tc>
          <w:tcPr>
            <w:tcW w:w="5640" w:type="dxa"/>
            <w:vAlign w:val="bottom"/>
            <w:tcBorders>
              <w:bottom w:val="single" w:sz="8" w:color="CCEEFF"/>
            </w:tcBorders>
            <w:gridSpan w:val="2"/>
            <w:shd w:val="clear" w:color="auto" w:fill="CCEEFF"/>
          </w:tcPr>
          <w:p>
            <w:pPr>
              <w:spacing w:after="0"/>
              <w:rPr>
                <w:sz w:val="18"/>
                <w:szCs w:val="18"/>
                <w:color w:val="auto"/>
              </w:rPr>
            </w:pPr>
          </w:p>
        </w:tc>
      </w:tr>
      <w:tr>
        <w:trPr>
          <w:trHeight w:val="193"/>
        </w:trPr>
        <w:tc>
          <w:tcPr>
            <w:tcW w:w="1200" w:type="dxa"/>
            <w:vAlign w:val="bottom"/>
          </w:tcPr>
          <w:p>
            <w:pPr>
              <w:ind w:left="20"/>
              <w:spacing w:after="0" w:line="194" w:lineRule="exact"/>
              <w:rPr>
                <w:sz w:val="20"/>
                <w:szCs w:val="20"/>
                <w:color w:val="auto"/>
              </w:rPr>
            </w:pPr>
            <w:r>
              <w:rPr>
                <w:rFonts w:ascii="Arial" w:cs="Arial" w:eastAsia="Arial" w:hAnsi="Arial"/>
                <w:sz w:val="17"/>
                <w:szCs w:val="17"/>
                <w:color w:val="auto"/>
              </w:rPr>
              <w:t>31.1*</w:t>
            </w:r>
          </w:p>
        </w:tc>
        <w:tc>
          <w:tcPr>
            <w:tcW w:w="10040" w:type="dxa"/>
            <w:vAlign w:val="bottom"/>
            <w:gridSpan w:val="11"/>
          </w:tcPr>
          <w:p>
            <w:pPr>
              <w:spacing w:after="0" w:line="194" w:lineRule="exact"/>
              <w:rPr>
                <w:sz w:val="20"/>
                <w:szCs w:val="20"/>
                <w:color w:val="auto"/>
              </w:rPr>
            </w:pPr>
            <w:r>
              <w:rPr>
                <w:rFonts w:ascii="Arial" w:cs="Arial" w:eastAsia="Arial" w:hAnsi="Arial"/>
                <w:sz w:val="17"/>
                <w:szCs w:val="17"/>
                <w:color w:val="0000FF"/>
              </w:rPr>
              <w:t>Certification of Principal Executive Officer pursuant to</w:t>
            </w:r>
          </w:p>
        </w:tc>
      </w:tr>
      <w:tr>
        <w:trPr>
          <w:trHeight w:val="20"/>
        </w:trPr>
        <w:tc>
          <w:tcPr>
            <w:tcW w:w="1200" w:type="dxa"/>
            <w:vAlign w:val="bottom"/>
          </w:tcPr>
          <w:p>
            <w:pPr>
              <w:spacing w:after="0" w:line="20" w:lineRule="exact"/>
              <w:rPr>
                <w:sz w:val="1"/>
                <w:szCs w:val="1"/>
                <w:color w:val="auto"/>
              </w:rPr>
            </w:pPr>
          </w:p>
        </w:tc>
        <w:tc>
          <w:tcPr>
            <w:tcW w:w="37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173"/>
        </w:trPr>
        <w:tc>
          <w:tcPr>
            <w:tcW w:w="1200" w:type="dxa"/>
            <w:vAlign w:val="bottom"/>
          </w:tcPr>
          <w:p>
            <w:pPr>
              <w:spacing w:after="0"/>
              <w:rPr>
                <w:sz w:val="15"/>
                <w:szCs w:val="15"/>
                <w:color w:val="auto"/>
              </w:rPr>
            </w:pPr>
          </w:p>
        </w:tc>
        <w:tc>
          <w:tcPr>
            <w:tcW w:w="3940" w:type="dxa"/>
            <w:vAlign w:val="bottom"/>
            <w:tcBorders>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w w:val="89"/>
              </w:rPr>
              <w:t>Exchange Act Rules 13a-14(a) and 15d-14(a), as adopted</w:t>
            </w:r>
          </w:p>
        </w:tc>
        <w:tc>
          <w:tcPr>
            <w:tcW w:w="6100" w:type="dxa"/>
            <w:vAlign w:val="bottom"/>
            <w:gridSpan w:val="9"/>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10040" w:type="dxa"/>
            <w:vAlign w:val="bottom"/>
            <w:gridSpan w:val="11"/>
          </w:tcPr>
          <w:p>
            <w:pPr>
              <w:spacing w:after="0" w:line="173" w:lineRule="exact"/>
              <w:rPr>
                <w:sz w:val="20"/>
                <w:szCs w:val="20"/>
                <w:color w:val="auto"/>
              </w:rPr>
            </w:pPr>
            <w:r>
              <w:rPr>
                <w:rFonts w:ascii="Arial" w:cs="Arial" w:eastAsia="Arial" w:hAnsi="Arial"/>
                <w:sz w:val="17"/>
                <w:szCs w:val="17"/>
                <w:color w:val="0000FF"/>
              </w:rPr>
              <w:t>pursuant to Section 302 of the Sarbanes-Oxley Act of 2002.</w:t>
            </w:r>
          </w:p>
        </w:tc>
      </w:tr>
      <w:tr>
        <w:trPr>
          <w:trHeight w:val="44"/>
        </w:trPr>
        <w:tc>
          <w:tcPr>
            <w:tcW w:w="1200" w:type="dxa"/>
            <w:vAlign w:val="bottom"/>
          </w:tcPr>
          <w:p>
            <w:pPr>
              <w:spacing w:after="0"/>
              <w:rPr>
                <w:sz w:val="3"/>
                <w:szCs w:val="3"/>
                <w:color w:val="auto"/>
              </w:rPr>
            </w:pPr>
          </w:p>
        </w:tc>
        <w:tc>
          <w:tcPr>
            <w:tcW w:w="37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20" w:type="dxa"/>
            <w:vAlign w:val="bottom"/>
          </w:tcPr>
          <w:p>
            <w:pPr>
              <w:spacing w:after="0"/>
              <w:rPr>
                <w:sz w:val="3"/>
                <w:szCs w:val="3"/>
                <w:color w:val="auto"/>
              </w:rPr>
            </w:pPr>
          </w:p>
        </w:tc>
      </w:tr>
      <w:tr>
        <w:trPr>
          <w:trHeight w:val="193"/>
        </w:trPr>
        <w:tc>
          <w:tcPr>
            <w:tcW w:w="120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31.2*</w:t>
            </w:r>
          </w:p>
        </w:tc>
        <w:tc>
          <w:tcPr>
            <w:tcW w:w="10040" w:type="dxa"/>
            <w:vAlign w:val="bottom"/>
            <w:gridSpan w:val="11"/>
            <w:shd w:val="clear" w:color="auto" w:fill="CCEEFF"/>
          </w:tcPr>
          <w:p>
            <w:pPr>
              <w:spacing w:after="0" w:line="194" w:lineRule="exact"/>
              <w:rPr>
                <w:sz w:val="20"/>
                <w:szCs w:val="20"/>
                <w:color w:val="auto"/>
              </w:rPr>
            </w:pPr>
            <w:r>
              <w:rPr>
                <w:rFonts w:ascii="Arial" w:cs="Arial" w:eastAsia="Arial" w:hAnsi="Arial"/>
                <w:sz w:val="17"/>
                <w:szCs w:val="17"/>
                <w:color w:val="0000FF"/>
              </w:rPr>
              <w:t>Certification of Principal Financial Officer pursuant to</w:t>
            </w:r>
          </w:p>
        </w:tc>
      </w:tr>
      <w:tr>
        <w:trPr>
          <w:trHeight w:val="20"/>
        </w:trPr>
        <w:tc>
          <w:tcPr>
            <w:tcW w:w="1200" w:type="dxa"/>
            <w:vAlign w:val="bottom"/>
            <w:shd w:val="clear" w:color="auto" w:fill="CCEEFF"/>
          </w:tcPr>
          <w:p>
            <w:pPr>
              <w:spacing w:after="0" w:line="20" w:lineRule="exact"/>
              <w:rPr>
                <w:sz w:val="1"/>
                <w:szCs w:val="1"/>
                <w:color w:val="auto"/>
              </w:rPr>
            </w:pPr>
          </w:p>
        </w:tc>
        <w:tc>
          <w:tcPr>
            <w:tcW w:w="3780" w:type="dxa"/>
            <w:vAlign w:val="bottom"/>
            <w:tcBorders>
              <w:right w:val="single" w:sz="8" w:color="CCEEFF"/>
            </w:tcBorders>
            <w:shd w:val="clear" w:color="auto" w:fill="0000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420" w:type="dxa"/>
            <w:vAlign w:val="bottom"/>
            <w:gridSpan w:val="7"/>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r>
      <w:tr>
        <w:trPr>
          <w:trHeight w:val="173"/>
        </w:trPr>
        <w:tc>
          <w:tcPr>
            <w:tcW w:w="1200" w:type="dxa"/>
            <w:vAlign w:val="bottom"/>
            <w:tcBorders>
              <w:bottom w:val="single" w:sz="8" w:color="CCEEFF"/>
            </w:tcBorders>
            <w:shd w:val="clear" w:color="auto" w:fill="CCEEFF"/>
          </w:tcPr>
          <w:p>
            <w:pPr>
              <w:spacing w:after="0"/>
              <w:rPr>
                <w:sz w:val="15"/>
                <w:szCs w:val="15"/>
                <w:color w:val="auto"/>
              </w:rPr>
            </w:pPr>
          </w:p>
        </w:tc>
        <w:tc>
          <w:tcPr>
            <w:tcW w:w="3940" w:type="dxa"/>
            <w:vAlign w:val="bottom"/>
            <w:tcBorders>
              <w:bottom w:val="single" w:sz="8" w:color="0000FF"/>
            </w:tcBorders>
            <w:gridSpan w:val="2"/>
            <w:shd w:val="clear" w:color="auto" w:fill="CCEEFF"/>
          </w:tcPr>
          <w:p>
            <w:pPr>
              <w:spacing w:after="0" w:line="173" w:lineRule="exact"/>
              <w:rPr>
                <w:sz w:val="20"/>
                <w:szCs w:val="20"/>
                <w:color w:val="auto"/>
              </w:rPr>
            </w:pPr>
            <w:r>
              <w:rPr>
                <w:rFonts w:ascii="Arial" w:cs="Arial" w:eastAsia="Arial" w:hAnsi="Arial"/>
                <w:sz w:val="17"/>
                <w:szCs w:val="17"/>
                <w:color w:val="0000FF"/>
                <w:w w:val="89"/>
              </w:rPr>
              <w:t>Exchange Act Rules 13a-14(a) and 15d-14(a), as adopted</w:t>
            </w:r>
          </w:p>
        </w:tc>
        <w:tc>
          <w:tcPr>
            <w:tcW w:w="6100" w:type="dxa"/>
            <w:vAlign w:val="bottom"/>
            <w:tcBorders>
              <w:bottom w:val="single" w:sz="8" w:color="CCEEFF"/>
            </w:tcBorders>
            <w:gridSpan w:val="9"/>
            <w:shd w:val="clear" w:color="auto" w:fill="CCEEFF"/>
          </w:tcPr>
          <w:p>
            <w:pPr>
              <w:spacing w:after="0"/>
              <w:rPr>
                <w:sz w:val="15"/>
                <w:szCs w:val="15"/>
                <w:color w:val="auto"/>
              </w:rPr>
            </w:pPr>
          </w:p>
        </w:tc>
      </w:tr>
      <w:tr>
        <w:trPr>
          <w:trHeight w:val="218"/>
        </w:trPr>
        <w:tc>
          <w:tcPr>
            <w:tcW w:w="1200" w:type="dxa"/>
            <w:vAlign w:val="bottom"/>
            <w:shd w:val="clear" w:color="auto" w:fill="CCEEFF"/>
          </w:tcPr>
          <w:p>
            <w:pPr>
              <w:spacing w:after="0"/>
              <w:rPr>
                <w:sz w:val="18"/>
                <w:szCs w:val="18"/>
                <w:color w:val="auto"/>
              </w:rPr>
            </w:pPr>
          </w:p>
        </w:tc>
        <w:tc>
          <w:tcPr>
            <w:tcW w:w="10040" w:type="dxa"/>
            <w:vAlign w:val="bottom"/>
            <w:gridSpan w:val="11"/>
            <w:shd w:val="clear" w:color="auto" w:fill="CCEEFF"/>
          </w:tcPr>
          <w:p>
            <w:pPr>
              <w:spacing w:after="0" w:line="173" w:lineRule="exact"/>
              <w:rPr>
                <w:sz w:val="20"/>
                <w:szCs w:val="20"/>
                <w:color w:val="auto"/>
              </w:rPr>
            </w:pPr>
            <w:r>
              <w:rPr>
                <w:rFonts w:ascii="Arial" w:cs="Arial" w:eastAsia="Arial" w:hAnsi="Arial"/>
                <w:sz w:val="17"/>
                <w:szCs w:val="17"/>
                <w:color w:val="0000FF"/>
              </w:rPr>
              <w:t>pursuant to Section 302 of the Sarbanes-Oxley Act of 2002.</w:t>
            </w:r>
          </w:p>
        </w:tc>
      </w:tr>
      <w:tr>
        <w:trPr>
          <w:trHeight w:val="180"/>
        </w:trPr>
        <w:tc>
          <w:tcPr>
            <w:tcW w:w="1200" w:type="dxa"/>
            <w:vAlign w:val="bottom"/>
            <w:tcBorders>
              <w:top w:val="single" w:sz="8" w:color="CCEEFF"/>
            </w:tcBorders>
          </w:tcPr>
          <w:p>
            <w:pPr>
              <w:ind w:left="20"/>
              <w:spacing w:after="0" w:line="180" w:lineRule="exact"/>
              <w:rPr>
                <w:sz w:val="20"/>
                <w:szCs w:val="20"/>
                <w:color w:val="auto"/>
              </w:rPr>
            </w:pPr>
            <w:r>
              <w:rPr>
                <w:rFonts w:ascii="Arial" w:cs="Arial" w:eastAsia="Arial" w:hAnsi="Arial"/>
                <w:sz w:val="17"/>
                <w:szCs w:val="17"/>
                <w:color w:val="auto"/>
              </w:rPr>
              <w:t>32.1*</w:t>
            </w:r>
          </w:p>
        </w:tc>
        <w:tc>
          <w:tcPr>
            <w:tcW w:w="4100" w:type="dxa"/>
            <w:vAlign w:val="bottom"/>
            <w:tcBorders>
              <w:top w:val="single" w:sz="8" w:color="0000FF"/>
            </w:tcBorders>
            <w:gridSpan w:val="4"/>
          </w:tcPr>
          <w:p>
            <w:pPr>
              <w:spacing w:after="0" w:line="180" w:lineRule="exact"/>
              <w:rPr>
                <w:sz w:val="20"/>
                <w:szCs w:val="20"/>
                <w:color w:val="auto"/>
              </w:rPr>
            </w:pPr>
            <w:r>
              <w:rPr>
                <w:rFonts w:ascii="Arial" w:cs="Arial" w:eastAsia="Arial" w:hAnsi="Arial"/>
                <w:sz w:val="17"/>
                <w:szCs w:val="17"/>
                <w:color w:val="0000FF"/>
                <w:w w:val="96"/>
              </w:rPr>
              <w:t>Certifications of Principal Executive Officer and Principal</w:t>
            </w:r>
          </w:p>
        </w:tc>
        <w:tc>
          <w:tcPr>
            <w:tcW w:w="5940" w:type="dxa"/>
            <w:vAlign w:val="bottom"/>
            <w:tcBorders>
              <w:top w:val="single" w:sz="8" w:color="CCEEFF"/>
            </w:tcBorders>
            <w:gridSpan w:val="7"/>
          </w:tcPr>
          <w:p>
            <w:pPr>
              <w:spacing w:after="0"/>
              <w:rPr>
                <w:sz w:val="15"/>
                <w:szCs w:val="15"/>
                <w:color w:val="auto"/>
              </w:rPr>
            </w:pPr>
          </w:p>
        </w:tc>
      </w:tr>
      <w:tr>
        <w:trPr>
          <w:trHeight w:val="148"/>
        </w:trPr>
        <w:tc>
          <w:tcPr>
            <w:tcW w:w="1200" w:type="dxa"/>
            <w:vAlign w:val="bottom"/>
          </w:tcPr>
          <w:p>
            <w:pPr>
              <w:spacing w:after="0"/>
              <w:rPr>
                <w:sz w:val="12"/>
                <w:szCs w:val="12"/>
                <w:color w:val="auto"/>
              </w:rPr>
            </w:pPr>
          </w:p>
        </w:tc>
        <w:tc>
          <w:tcPr>
            <w:tcW w:w="4000" w:type="dxa"/>
            <w:vAlign w:val="bottom"/>
            <w:tcBorders>
              <w:top w:val="single" w:sz="8" w:color="0000FF"/>
            </w:tcBorders>
            <w:gridSpan w:val="3"/>
          </w:tcPr>
          <w:p>
            <w:pPr>
              <w:spacing w:after="0" w:line="148" w:lineRule="exact"/>
              <w:rPr>
                <w:sz w:val="20"/>
                <w:szCs w:val="20"/>
                <w:color w:val="auto"/>
              </w:rPr>
            </w:pPr>
            <w:r>
              <w:rPr>
                <w:rFonts w:ascii="Arial" w:cs="Arial" w:eastAsia="Arial" w:hAnsi="Arial"/>
                <w:sz w:val="17"/>
                <w:szCs w:val="17"/>
                <w:color w:val="0000FF"/>
                <w:w w:val="95"/>
              </w:rPr>
              <w:t>Financial Officer pursuant to 18 U.S.C. Section 1350 as</w:t>
            </w:r>
          </w:p>
        </w:tc>
        <w:tc>
          <w:tcPr>
            <w:tcW w:w="6040" w:type="dxa"/>
            <w:vAlign w:val="bottom"/>
            <w:gridSpan w:val="8"/>
          </w:tcPr>
          <w:p>
            <w:pPr>
              <w:spacing w:after="0" w:line="148" w:lineRule="exact"/>
              <w:rPr>
                <w:sz w:val="20"/>
                <w:szCs w:val="20"/>
                <w:color w:val="auto"/>
              </w:rPr>
            </w:pPr>
            <w:r>
              <w:rPr>
                <w:rFonts w:ascii="Arial" w:cs="Arial" w:eastAsia="Arial" w:hAnsi="Arial"/>
                <w:sz w:val="17"/>
                <w:szCs w:val="17"/>
                <w:color w:val="0000FF"/>
              </w:rPr>
              <w:t>adopted</w:t>
            </w:r>
          </w:p>
        </w:tc>
      </w:tr>
      <w:tr>
        <w:trPr>
          <w:trHeight w:val="148"/>
        </w:trPr>
        <w:tc>
          <w:tcPr>
            <w:tcW w:w="1200" w:type="dxa"/>
            <w:vAlign w:val="bottom"/>
          </w:tcPr>
          <w:p>
            <w:pPr>
              <w:spacing w:after="0"/>
              <w:rPr>
                <w:sz w:val="12"/>
                <w:szCs w:val="12"/>
                <w:color w:val="auto"/>
              </w:rPr>
            </w:pPr>
          </w:p>
        </w:tc>
        <w:tc>
          <w:tcPr>
            <w:tcW w:w="4420" w:type="dxa"/>
            <w:vAlign w:val="bottom"/>
            <w:tcBorders>
              <w:top w:val="single" w:sz="8" w:color="0000FF"/>
            </w:tcBorders>
            <w:gridSpan w:val="10"/>
          </w:tcPr>
          <w:p>
            <w:pPr>
              <w:spacing w:after="0" w:line="148" w:lineRule="exact"/>
              <w:rPr>
                <w:sz w:val="20"/>
                <w:szCs w:val="20"/>
                <w:color w:val="auto"/>
              </w:rPr>
            </w:pPr>
            <w:r>
              <w:rPr>
                <w:rFonts w:ascii="Arial" w:cs="Arial" w:eastAsia="Arial" w:hAnsi="Arial"/>
                <w:sz w:val="17"/>
                <w:szCs w:val="17"/>
                <w:color w:val="0000FF"/>
                <w:w w:val="98"/>
              </w:rPr>
              <w:t>pursuant to Section 906 of the Sarbanes-Oxley Act of 2002.</w:t>
            </w:r>
          </w:p>
        </w:tc>
        <w:tc>
          <w:tcPr>
            <w:tcW w:w="5620" w:type="dxa"/>
            <w:vAlign w:val="bottom"/>
          </w:tcPr>
          <w:p>
            <w:pPr>
              <w:spacing w:after="0"/>
              <w:rPr>
                <w:sz w:val="12"/>
                <w:szCs w:val="12"/>
                <w:color w:val="auto"/>
              </w:rPr>
            </w:pPr>
          </w:p>
        </w:tc>
      </w:tr>
      <w:tr>
        <w:trPr>
          <w:trHeight w:val="32"/>
        </w:trPr>
        <w:tc>
          <w:tcPr>
            <w:tcW w:w="1200" w:type="dxa"/>
            <w:vAlign w:val="bottom"/>
          </w:tcPr>
          <w:p>
            <w:pPr>
              <w:spacing w:after="0"/>
              <w:rPr>
                <w:sz w:val="2"/>
                <w:szCs w:val="2"/>
                <w:color w:val="auto"/>
              </w:rPr>
            </w:pPr>
          </w:p>
        </w:tc>
        <w:tc>
          <w:tcPr>
            <w:tcW w:w="37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19"/>
        </w:trPr>
        <w:tc>
          <w:tcPr>
            <w:tcW w:w="1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10040" w:type="dxa"/>
            <w:vAlign w:val="bottom"/>
            <w:gridSpan w:val="11"/>
            <w:shd w:val="clear" w:color="auto" w:fill="CCEEFF"/>
          </w:tcPr>
          <w:p>
            <w:pPr>
              <w:spacing w:after="0"/>
              <w:rPr>
                <w:sz w:val="20"/>
                <w:szCs w:val="20"/>
                <w:color w:val="auto"/>
              </w:rPr>
            </w:pPr>
            <w:r>
              <w:rPr>
                <w:rFonts w:ascii="Arial" w:cs="Arial" w:eastAsia="Arial" w:hAnsi="Arial"/>
                <w:sz w:val="17"/>
                <w:szCs w:val="17"/>
                <w:color w:val="auto"/>
              </w:rPr>
              <w:t>Inline XBRL Instance Document</w:t>
            </w:r>
          </w:p>
        </w:tc>
      </w:tr>
      <w:tr>
        <w:trPr>
          <w:trHeight w:val="218"/>
        </w:trPr>
        <w:tc>
          <w:tcPr>
            <w:tcW w:w="1200" w:type="dxa"/>
            <w:vAlign w:val="bottom"/>
          </w:tcPr>
          <w:p>
            <w:pPr>
              <w:ind w:left="20"/>
              <w:spacing w:after="0"/>
              <w:rPr>
                <w:sz w:val="20"/>
                <w:szCs w:val="20"/>
                <w:color w:val="auto"/>
              </w:rPr>
            </w:pPr>
            <w:r>
              <w:rPr>
                <w:rFonts w:ascii="Arial" w:cs="Arial" w:eastAsia="Arial" w:hAnsi="Arial"/>
                <w:sz w:val="17"/>
                <w:szCs w:val="17"/>
                <w:color w:val="auto"/>
              </w:rPr>
              <w:t>101.SCH*</w:t>
            </w:r>
          </w:p>
        </w:tc>
        <w:tc>
          <w:tcPr>
            <w:tcW w:w="1004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Incorporated by Reference</w:t>
            </w:r>
          </w:p>
        </w:tc>
      </w:tr>
      <w:tr>
        <w:trPr>
          <w:trHeight w:val="155"/>
        </w:trPr>
        <w:tc>
          <w:tcPr>
            <w:tcW w:w="1020" w:type="dxa"/>
            <w:vAlign w:val="bottom"/>
          </w:tcPr>
          <w:p>
            <w:pPr>
              <w:ind w:left="280"/>
              <w:spacing w:after="0" w:line="154" w:lineRule="exact"/>
              <w:rPr>
                <w:sz w:val="20"/>
                <w:szCs w:val="20"/>
                <w:color w:val="auto"/>
              </w:rPr>
            </w:pPr>
            <w:r>
              <w:rPr>
                <w:rFonts w:ascii="Arial" w:cs="Arial" w:eastAsia="Arial" w:hAnsi="Arial"/>
                <w:sz w:val="17"/>
                <w:szCs w:val="17"/>
                <w:b w:val="1"/>
                <w:bCs w:val="1"/>
                <w:color w:val="auto"/>
              </w:rPr>
              <w:t>Exhibit</w:t>
            </w:r>
          </w:p>
        </w:tc>
        <w:tc>
          <w:tcPr>
            <w:tcW w:w="4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31"/>
        </w:trPr>
        <w:tc>
          <w:tcPr>
            <w:tcW w:w="1020" w:type="dxa"/>
            <w:vAlign w:val="bottom"/>
          </w:tcPr>
          <w:p>
            <w:pPr>
              <w:ind w:left="240"/>
              <w:spacing w:after="0"/>
              <w:rPr>
                <w:sz w:val="20"/>
                <w:szCs w:val="20"/>
                <w:color w:val="auto"/>
              </w:rPr>
            </w:pPr>
            <w:r>
              <w:rPr>
                <w:rFonts w:ascii="Arial" w:cs="Arial" w:eastAsia="Arial" w:hAnsi="Arial"/>
                <w:sz w:val="17"/>
                <w:szCs w:val="17"/>
                <w:b w:val="1"/>
                <w:bCs w:val="1"/>
                <w:color w:val="auto"/>
              </w:rPr>
              <w:t>Number</w:t>
            </w:r>
          </w:p>
        </w:tc>
        <w:tc>
          <w:tcPr>
            <w:tcW w:w="4800" w:type="dxa"/>
            <w:vAlign w:val="bottom"/>
          </w:tcPr>
          <w:p>
            <w:pPr>
              <w:ind w:left="1980"/>
              <w:spacing w:after="0"/>
              <w:rPr>
                <w:sz w:val="20"/>
                <w:szCs w:val="20"/>
                <w:color w:val="auto"/>
              </w:rPr>
            </w:pPr>
            <w:r>
              <w:rPr>
                <w:rFonts w:ascii="Arial" w:cs="Arial" w:eastAsia="Arial" w:hAnsi="Arial"/>
                <w:sz w:val="17"/>
                <w:szCs w:val="17"/>
                <w:b w:val="1"/>
                <w:bCs w:val="1"/>
                <w:color w:val="auto"/>
              </w:rPr>
              <w:t>Description</w:t>
            </w:r>
          </w:p>
        </w:tc>
        <w:tc>
          <w:tcPr>
            <w:tcW w:w="880" w:type="dxa"/>
            <w:vAlign w:val="bottom"/>
          </w:tcPr>
          <w:p>
            <w:pPr>
              <w:ind w:left="160"/>
              <w:spacing w:after="0"/>
              <w:rPr>
                <w:sz w:val="20"/>
                <w:szCs w:val="20"/>
                <w:color w:val="auto"/>
              </w:rPr>
            </w:pPr>
            <w:r>
              <w:rPr>
                <w:rFonts w:ascii="Arial" w:cs="Arial" w:eastAsia="Arial" w:hAnsi="Arial"/>
                <w:sz w:val="17"/>
                <w:szCs w:val="17"/>
                <w:b w:val="1"/>
                <w:bCs w:val="1"/>
                <w:color w:val="auto"/>
              </w:rPr>
              <w:t>Form</w:t>
            </w: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File No.</w:t>
            </w:r>
          </w:p>
        </w:tc>
        <w:tc>
          <w:tcPr>
            <w:tcW w:w="1520" w:type="dxa"/>
            <w:vAlign w:val="bottom"/>
          </w:tcPr>
          <w:p>
            <w:pPr>
              <w:ind w:left="520"/>
              <w:spacing w:after="0"/>
              <w:rPr>
                <w:sz w:val="20"/>
                <w:szCs w:val="20"/>
                <w:color w:val="auto"/>
              </w:rPr>
            </w:pPr>
            <w:r>
              <w:rPr>
                <w:rFonts w:ascii="Arial" w:cs="Arial" w:eastAsia="Arial" w:hAnsi="Arial"/>
                <w:sz w:val="17"/>
                <w:szCs w:val="17"/>
                <w:b w:val="1"/>
                <w:bCs w:val="1"/>
                <w:color w:val="auto"/>
              </w:rPr>
              <w:t>Exhibit</w:t>
            </w:r>
          </w:p>
        </w:tc>
        <w:tc>
          <w:tcPr>
            <w:tcW w:w="1900" w:type="dxa"/>
            <w:vAlign w:val="bottom"/>
          </w:tcPr>
          <w:p>
            <w:pPr>
              <w:ind w:left="460"/>
              <w:spacing w:after="0"/>
              <w:rPr>
                <w:sz w:val="20"/>
                <w:szCs w:val="20"/>
                <w:color w:val="auto"/>
              </w:rPr>
            </w:pPr>
            <w:r>
              <w:rPr>
                <w:rFonts w:ascii="Arial" w:cs="Arial" w:eastAsia="Arial" w:hAnsi="Arial"/>
                <w:sz w:val="17"/>
                <w:szCs w:val="17"/>
                <w:b w:val="1"/>
                <w:bCs w:val="1"/>
                <w:color w:val="auto"/>
              </w:rPr>
              <w:t>Filing Date</w:t>
            </w:r>
          </w:p>
        </w:tc>
      </w:tr>
      <w:tr>
        <w:trPr>
          <w:trHeight w:val="169"/>
        </w:trPr>
        <w:tc>
          <w:tcPr>
            <w:tcW w:w="10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101.CAL*</w:t>
            </w:r>
          </w:p>
        </w:tc>
        <w:tc>
          <w:tcPr>
            <w:tcW w:w="48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Inline XBRL Taxonomy Extension Calculation Linkbase</w:t>
            </w: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r>
      <w:tr>
        <w:trPr>
          <w:trHeight w:val="232"/>
        </w:trPr>
        <w:tc>
          <w:tcPr>
            <w:tcW w:w="1020" w:type="dxa"/>
            <w:vAlign w:val="bottom"/>
            <w:shd w:val="clear" w:color="auto" w:fill="CCEEFF"/>
          </w:tcPr>
          <w:p>
            <w:pPr>
              <w:spacing w:after="0"/>
              <w:rPr>
                <w:sz w:val="20"/>
                <w:szCs w:val="20"/>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Document</w:t>
            </w:r>
          </w:p>
        </w:tc>
        <w:tc>
          <w:tcPr>
            <w:tcW w:w="8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7"/>
                <w:szCs w:val="17"/>
                <w:color w:val="auto"/>
              </w:rPr>
              <w:t>101.DEF*</w:t>
            </w:r>
          </w:p>
        </w:tc>
        <w:tc>
          <w:tcPr>
            <w:tcW w:w="4800" w:type="dxa"/>
            <w:vAlign w:val="bottom"/>
          </w:tcPr>
          <w:p>
            <w:pPr>
              <w:ind w:left="180"/>
              <w:spacing w:after="0" w:line="168" w:lineRule="exact"/>
              <w:rPr>
                <w:sz w:val="20"/>
                <w:szCs w:val="20"/>
                <w:color w:val="auto"/>
              </w:rPr>
            </w:pPr>
            <w:r>
              <w:rPr>
                <w:rFonts w:ascii="Arial" w:cs="Arial" w:eastAsia="Arial" w:hAnsi="Arial"/>
                <w:sz w:val="17"/>
                <w:szCs w:val="17"/>
                <w:color w:val="auto"/>
              </w:rPr>
              <w:t>Inline XBRL Taxonomy Extension Definition Linkbase</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4"/>
        </w:trPr>
        <w:tc>
          <w:tcPr>
            <w:tcW w:w="10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7"/>
                <w:szCs w:val="17"/>
                <w:color w:val="auto"/>
              </w:rPr>
              <w:t>Document</w:t>
            </w: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6"/>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4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Inline XBRL Taxonomy Extension Label Linkbase Document</w:t>
            </w:r>
          </w:p>
        </w:tc>
        <w:tc>
          <w:tcPr>
            <w:tcW w:w="8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168"/>
        </w:trPr>
        <w:tc>
          <w:tcPr>
            <w:tcW w:w="1020" w:type="dxa"/>
            <w:vAlign w:val="bottom"/>
          </w:tcPr>
          <w:p>
            <w:pPr>
              <w:ind w:left="20"/>
              <w:spacing w:after="0" w:line="168" w:lineRule="exact"/>
              <w:rPr>
                <w:sz w:val="20"/>
                <w:szCs w:val="20"/>
                <w:color w:val="auto"/>
              </w:rPr>
            </w:pPr>
            <w:r>
              <w:rPr>
                <w:rFonts w:ascii="Arial" w:cs="Arial" w:eastAsia="Arial" w:hAnsi="Arial"/>
                <w:sz w:val="17"/>
                <w:szCs w:val="17"/>
                <w:color w:val="auto"/>
              </w:rPr>
              <w:t>101.PRE*</w:t>
            </w:r>
          </w:p>
        </w:tc>
        <w:tc>
          <w:tcPr>
            <w:tcW w:w="4800" w:type="dxa"/>
            <w:vAlign w:val="bottom"/>
          </w:tcPr>
          <w:p>
            <w:pPr>
              <w:ind w:left="180"/>
              <w:spacing w:after="0" w:line="168" w:lineRule="exact"/>
              <w:rPr>
                <w:sz w:val="20"/>
                <w:szCs w:val="20"/>
                <w:color w:val="auto"/>
              </w:rPr>
            </w:pPr>
            <w:r>
              <w:rPr>
                <w:rFonts w:ascii="Arial" w:cs="Arial" w:eastAsia="Arial" w:hAnsi="Arial"/>
                <w:sz w:val="17"/>
                <w:szCs w:val="17"/>
                <w:color w:val="auto"/>
              </w:rPr>
              <w:t>Inline XBRL Taxonomy Extension Presentation Linkbase</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4"/>
        </w:trPr>
        <w:tc>
          <w:tcPr>
            <w:tcW w:w="10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7"/>
                <w:szCs w:val="17"/>
                <w:color w:val="auto"/>
              </w:rPr>
              <w:t>Document</w:t>
            </w: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104.0</w:t>
            </w:r>
          </w:p>
        </w:tc>
        <w:tc>
          <w:tcPr>
            <w:tcW w:w="480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w w:val="96"/>
              </w:rPr>
              <w:t>Cover Page Interactive Data File (formatted as Inline XBRL and</w:t>
            </w:r>
          </w:p>
        </w:tc>
        <w:tc>
          <w:tcPr>
            <w:tcW w:w="8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32"/>
        </w:trPr>
        <w:tc>
          <w:tcPr>
            <w:tcW w:w="1020" w:type="dxa"/>
            <w:vAlign w:val="bottom"/>
            <w:shd w:val="clear" w:color="auto" w:fill="CCEEFF"/>
          </w:tcPr>
          <w:p>
            <w:pPr>
              <w:spacing w:after="0"/>
              <w:rPr>
                <w:sz w:val="20"/>
                <w:szCs w:val="20"/>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contained in Exhibit 101)</w:t>
            </w:r>
          </w:p>
        </w:tc>
        <w:tc>
          <w:tcPr>
            <w:tcW w:w="8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212529"/>
        </w:rPr>
        <w:t>—————</w:t>
      </w:r>
    </w:p>
    <w:p>
      <w:pPr>
        <w:spacing w:after="0" w:line="22"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Indicates management contract or compensatory plan.</w:t>
      </w:r>
    </w:p>
    <w:p>
      <w:pPr>
        <w:spacing w:after="0" w:line="11" w:lineRule="exact"/>
        <w:rPr>
          <w:sz w:val="20"/>
          <w:szCs w:val="20"/>
          <w:color w:val="auto"/>
        </w:rPr>
      </w:pPr>
    </w:p>
    <w:p>
      <w:pPr>
        <w:ind w:left="620" w:right="120" w:hanging="617"/>
        <w:spacing w:after="0" w:line="266" w:lineRule="auto"/>
        <w:tabs>
          <w:tab w:leader="none" w:pos="254" w:val="left"/>
        </w:tabs>
        <w:numPr>
          <w:ilvl w:val="0"/>
          <w:numId w:val="49"/>
        </w:numPr>
        <w:rPr>
          <w:rFonts w:ascii="Arial" w:cs="Arial" w:eastAsia="Arial" w:hAnsi="Arial"/>
          <w:sz w:val="17"/>
          <w:szCs w:val="17"/>
          <w:color w:val="212529"/>
        </w:rPr>
      </w:pPr>
      <w:r>
        <w:rPr>
          <w:rFonts w:ascii="Arial" w:cs="Arial" w:eastAsia="Arial" w:hAnsi="Arial"/>
          <w:sz w:val="17"/>
          <w:szCs w:val="17"/>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bookmarkStart w:id="131" w:name="page132"/>
    <w:bookmarkEnd w:id="131"/>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56"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214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7"/>
                <w:szCs w:val="17"/>
                <w:b w:val="1"/>
                <w:bCs w:val="1"/>
                <w:color w:val="auto"/>
              </w:rPr>
              <w:t>Upstart Holdings, Inc.</w:t>
            </w:r>
          </w:p>
        </w:tc>
      </w:tr>
      <w:tr>
        <w:trPr>
          <w:trHeight w:val="219"/>
        </w:trPr>
        <w:tc>
          <w:tcPr>
            <w:tcW w:w="214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7"/>
                <w:szCs w:val="17"/>
                <w:color w:val="auto"/>
              </w:rPr>
              <w:t>(Registrant)</w:t>
            </w:r>
          </w:p>
        </w:tc>
      </w:tr>
      <w:tr>
        <w:trPr>
          <w:trHeight w:val="220"/>
        </w:trPr>
        <w:tc>
          <w:tcPr>
            <w:tcW w:w="2140" w:type="dxa"/>
            <w:vAlign w:val="bottom"/>
          </w:tcPr>
          <w:p>
            <w:pPr>
              <w:spacing w:after="0"/>
              <w:rPr>
                <w:sz w:val="20"/>
                <w:szCs w:val="20"/>
                <w:color w:val="auto"/>
              </w:rPr>
            </w:pPr>
            <w:r>
              <w:rPr>
                <w:rFonts w:ascii="Arial" w:cs="Arial" w:eastAsia="Arial" w:hAnsi="Arial"/>
                <w:sz w:val="17"/>
                <w:szCs w:val="17"/>
                <w:color w:val="auto"/>
              </w:rPr>
              <w:t>Date: November 8, 2022</w:t>
            </w:r>
          </w:p>
        </w:tc>
        <w:tc>
          <w:tcPr>
            <w:tcW w:w="900" w:type="dxa"/>
            <w:vAlign w:val="bottom"/>
          </w:tcPr>
          <w:p>
            <w:pPr>
              <w:ind w:left="420"/>
              <w:spacing w:after="0"/>
              <w:rPr>
                <w:sz w:val="20"/>
                <w:szCs w:val="20"/>
                <w:color w:val="auto"/>
              </w:rPr>
            </w:pPr>
            <w:r>
              <w:rPr>
                <w:rFonts w:ascii="Arial" w:cs="Arial" w:eastAsia="Arial" w:hAnsi="Arial"/>
                <w:sz w:val="17"/>
                <w:szCs w:val="17"/>
                <w:color w:val="auto"/>
              </w:rPr>
              <w:t>By:</w:t>
            </w: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Dave Girouard</w:t>
            </w:r>
          </w:p>
        </w:tc>
      </w:tr>
      <w:tr>
        <w:trPr>
          <w:trHeight w:val="211"/>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Dave Girouard</w:t>
            </w:r>
          </w:p>
        </w:tc>
      </w:tr>
      <w:tr>
        <w:trPr>
          <w:trHeight w:val="219"/>
        </w:trPr>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Chief Executive Officer and Director</w:t>
            </w:r>
          </w:p>
        </w:tc>
      </w:tr>
      <w:tr>
        <w:trPr>
          <w:trHeight w:val="219"/>
        </w:trPr>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465"/>
        </w:trPr>
        <w:tc>
          <w:tcPr>
            <w:tcW w:w="2140" w:type="dxa"/>
            <w:vAlign w:val="bottom"/>
          </w:tcPr>
          <w:p>
            <w:pPr>
              <w:spacing w:after="0"/>
              <w:rPr>
                <w:sz w:val="20"/>
                <w:szCs w:val="20"/>
                <w:color w:val="auto"/>
              </w:rPr>
            </w:pPr>
            <w:r>
              <w:rPr>
                <w:rFonts w:ascii="Arial" w:cs="Arial" w:eastAsia="Arial" w:hAnsi="Arial"/>
                <w:sz w:val="17"/>
                <w:szCs w:val="17"/>
                <w:color w:val="auto"/>
              </w:rPr>
              <w:t>Date: November 8, 2022</w:t>
            </w:r>
          </w:p>
        </w:tc>
        <w:tc>
          <w:tcPr>
            <w:tcW w:w="900" w:type="dxa"/>
            <w:vAlign w:val="bottom"/>
          </w:tcPr>
          <w:p>
            <w:pPr>
              <w:ind w:left="420"/>
              <w:spacing w:after="0"/>
              <w:rPr>
                <w:sz w:val="20"/>
                <w:szCs w:val="20"/>
                <w:color w:val="auto"/>
              </w:rPr>
            </w:pPr>
            <w:r>
              <w:rPr>
                <w:rFonts w:ascii="Arial" w:cs="Arial" w:eastAsia="Arial" w:hAnsi="Arial"/>
                <w:sz w:val="17"/>
                <w:szCs w:val="17"/>
                <w:color w:val="auto"/>
              </w:rPr>
              <w:t>By:</w:t>
            </w:r>
          </w:p>
        </w:tc>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Sanjay Datta</w:t>
            </w:r>
          </w:p>
        </w:tc>
      </w:tr>
      <w:tr>
        <w:trPr>
          <w:trHeight w:val="211"/>
        </w:trPr>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Sanjay Datta</w:t>
            </w:r>
          </w:p>
        </w:tc>
      </w:tr>
      <w:tr>
        <w:trPr>
          <w:trHeight w:val="219"/>
        </w:trPr>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2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1440" w:right="339" w:bottom="1440" w:gutter="0" w:footer="0" w:header="0"/>
        </w:sectPr>
      </w:pPr>
    </w:p>
    <w:bookmarkStart w:id="132" w:name="page133"/>
    <w:bookmarkEnd w:id="132"/>
    <w:p>
      <w:pPr>
        <w:ind w:firstLine="3"/>
        <w:spacing w:after="0" w:line="241" w:lineRule="auto"/>
        <w:tabs>
          <w:tab w:leader="none" w:pos="33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has been excluded from this amendment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137795</wp:posOffset>
            </wp:positionV>
            <wp:extent cx="1743710" cy="262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4371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Addendum for Auto Loans</w:t>
      </w:r>
    </w:p>
    <w:p>
      <w:pPr>
        <w:jc w:val="center"/>
        <w:spacing w:after="0" w:line="212" w:lineRule="auto"/>
        <w:rPr>
          <w:sz w:val="20"/>
          <w:szCs w:val="20"/>
          <w:color w:val="auto"/>
        </w:rPr>
      </w:pPr>
      <w:r>
        <w:rPr>
          <w:rFonts w:ascii="Arial" w:cs="Arial" w:eastAsia="Arial" w:hAnsi="Arial"/>
          <w:sz w:val="19"/>
          <w:szCs w:val="19"/>
          <w:b w:val="1"/>
          <w:bCs w:val="1"/>
          <w:color w:val="auto"/>
        </w:rPr>
        <w:t>And</w:t>
      </w:r>
    </w:p>
    <w:p>
      <w:pPr>
        <w:jc w:val="center"/>
        <w:spacing w:after="0"/>
        <w:rPr>
          <w:sz w:val="20"/>
          <w:szCs w:val="20"/>
          <w:color w:val="auto"/>
        </w:rPr>
      </w:pPr>
      <w:r>
        <w:rPr>
          <w:rFonts w:ascii="Arial" w:cs="Arial" w:eastAsia="Arial" w:hAnsi="Arial"/>
          <w:sz w:val="19"/>
          <w:szCs w:val="19"/>
          <w:b w:val="1"/>
          <w:bCs w:val="1"/>
          <w:color w:val="auto"/>
        </w:rPr>
        <w:t>Amendment No. 2 to Second Amended and Restated Promotion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Addendum For auto Loans and Amendment No. 2 to the Second Amended and Restated Promotion Agreement</w:t>
      </w:r>
      <w:r>
        <w:rPr>
          <w:rFonts w:ascii="Arial" w:cs="Arial" w:eastAsia="Arial" w:hAnsi="Arial"/>
          <w:sz w:val="18"/>
          <w:szCs w:val="18"/>
          <w:color w:val="auto"/>
        </w:rPr>
        <w:t xml:space="preserve"> (together, this</w:t>
      </w:r>
    </w:p>
    <w:p>
      <w:pPr>
        <w:spacing w:after="0" w:line="8"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Addendum</w:t>
      </w:r>
      <w:r>
        <w:rPr>
          <w:rFonts w:ascii="Arial" w:cs="Arial" w:eastAsia="Arial" w:hAnsi="Arial"/>
          <w:sz w:val="17"/>
          <w:szCs w:val="17"/>
          <w:color w:val="auto"/>
        </w:rPr>
        <w:t>”) is made effective as of August 9, 2022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Credit Karma Offers, Inc. (“</w:t>
      </w:r>
      <w:r>
        <w:rPr>
          <w:rFonts w:ascii="Arial" w:cs="Arial" w:eastAsia="Arial" w:hAnsi="Arial"/>
          <w:sz w:val="17"/>
          <w:szCs w:val="17"/>
          <w:b w:val="1"/>
          <w:bCs w:val="1"/>
          <w:i w:val="1"/>
          <w:iCs w:val="1"/>
          <w:color w:val="auto"/>
        </w:rPr>
        <w:t>Credit Karma</w:t>
      </w:r>
      <w:r>
        <w:rPr>
          <w:rFonts w:ascii="Arial" w:cs="Arial" w:eastAsia="Arial" w:hAnsi="Arial"/>
          <w:sz w:val="17"/>
          <w:szCs w:val="17"/>
          <w:color w:val="auto"/>
        </w:rPr>
        <w:t>” or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Upstart Network, Inc. (“</w:t>
      </w:r>
      <w:r>
        <w:rPr>
          <w:rFonts w:ascii="Arial" w:cs="Arial" w:eastAsia="Arial" w:hAnsi="Arial"/>
          <w:sz w:val="17"/>
          <w:szCs w:val="17"/>
          <w:b w:val="1"/>
          <w:bCs w:val="1"/>
          <w:i w:val="1"/>
          <w:iCs w:val="1"/>
          <w:color w:val="auto"/>
        </w:rPr>
        <w:t>Advertiser</w:t>
      </w:r>
      <w:r>
        <w:rPr>
          <w:rFonts w:ascii="Arial" w:cs="Arial" w:eastAsia="Arial" w:hAnsi="Arial"/>
          <w:sz w:val="17"/>
          <w:szCs w:val="17"/>
          <w:color w:val="auto"/>
        </w:rPr>
        <w:t>”), and together with Credit Karma,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Capitalized terms used but not otherwise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defined herein shall have the meanings ascribed to them in the Existing Agreement (as defined below).</w:t>
      </w:r>
    </w:p>
    <w:p>
      <w:pPr>
        <w:spacing w:after="0" w:line="159" w:lineRule="exact"/>
        <w:rPr>
          <w:sz w:val="20"/>
          <w:szCs w:val="20"/>
          <w:color w:val="auto"/>
        </w:rPr>
      </w:pPr>
    </w:p>
    <w:p>
      <w:pPr>
        <w:spacing w:after="0" w:line="2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Credit Karma and Advertiser entered into that certain Second Amended and Restated Promotion Agreement dated November 6, 2020,</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all addenda and amendments thereto (“</w:t>
      </w:r>
      <w:r>
        <w:rPr>
          <w:rFonts w:ascii="Arial" w:cs="Arial" w:eastAsia="Arial" w:hAnsi="Arial"/>
          <w:sz w:val="19"/>
          <w:szCs w:val="19"/>
          <w:b w:val="1"/>
          <w:bCs w:val="1"/>
          <w:i w:val="1"/>
          <w:iCs w:val="1"/>
          <w:color w:val="auto"/>
        </w:rPr>
        <w:t>Existing Agreement</w:t>
      </w:r>
      <w:r>
        <w:rPr>
          <w:rFonts w:ascii="Arial" w:cs="Arial" w:eastAsia="Arial" w:hAnsi="Arial"/>
          <w:sz w:val="19"/>
          <w:szCs w:val="19"/>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 13.4 of the Existing Agreement provides that it may be modified by a writing signed by an authorized signatory of each party;</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Existing Agreement governs the terms by which Credit Karma may display offers of Advertiser’s personal loan products to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and the parties now wish to amend and supplement the Agreement to include Advertiser’s auto refinance loan products (each, an “</w:t>
      </w:r>
      <w:r>
        <w:rPr>
          <w:rFonts w:ascii="Arial" w:cs="Arial" w:eastAsia="Arial" w:hAnsi="Arial"/>
          <w:sz w:val="17"/>
          <w:szCs w:val="17"/>
          <w:b w:val="1"/>
          <w:bCs w:val="1"/>
          <w:i w:val="1"/>
          <w:iCs w:val="1"/>
          <w:color w:val="auto"/>
        </w:rPr>
        <w:t>Auto</w:t>
      </w:r>
    </w:p>
    <w:p>
      <w:pPr>
        <w:spacing w:after="0"/>
        <w:rPr>
          <w:sz w:val="20"/>
          <w:szCs w:val="20"/>
          <w:color w:val="auto"/>
        </w:rPr>
      </w:pPr>
      <w:r>
        <w:rPr>
          <w:rFonts w:ascii="Arial" w:cs="Arial" w:eastAsia="Arial" w:hAnsi="Arial"/>
          <w:sz w:val="19"/>
          <w:szCs w:val="19"/>
          <w:b w:val="1"/>
          <w:bCs w:val="1"/>
          <w:i w:val="1"/>
          <w:iCs w:val="1"/>
          <w:color w:val="auto"/>
        </w:rPr>
        <w:t>Loan</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to set forth in this Addendum the Parties’ obligations with respect to the fee structure and related terms for Auto Loans.</w:t>
      </w:r>
    </w:p>
    <w:p>
      <w:pPr>
        <w:spacing w:after="0" w:line="191" w:lineRule="exact"/>
        <w:rPr>
          <w:sz w:val="20"/>
          <w:szCs w:val="20"/>
          <w:color w:val="auto"/>
        </w:rPr>
      </w:pPr>
    </w:p>
    <w:p>
      <w:pPr>
        <w:spacing w:after="0" w:line="24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promises set forth above and other good and valuable consideration, the receipt and sufficiency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acknowledged, the Parties agree as follows:</w:t>
      </w:r>
    </w:p>
    <w:p>
      <w:pPr>
        <w:spacing w:after="0" w:line="151" w:lineRule="exact"/>
        <w:rPr>
          <w:sz w:val="20"/>
          <w:szCs w:val="20"/>
          <w:color w:val="auto"/>
        </w:rPr>
      </w:pPr>
    </w:p>
    <w:p>
      <w:pPr>
        <w:ind w:left="620" w:hanging="307"/>
        <w:spacing w:after="0"/>
        <w:tabs>
          <w:tab w:leader="none" w:pos="62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w:t>
      </w:r>
    </w:p>
    <w:p>
      <w:pPr>
        <w:spacing w:after="0" w:line="174" w:lineRule="exact"/>
        <w:rPr>
          <w:rFonts w:ascii="Arial" w:cs="Arial" w:eastAsia="Arial" w:hAnsi="Arial"/>
          <w:sz w:val="19"/>
          <w:szCs w:val="19"/>
          <w:b w:val="1"/>
          <w:bCs w:val="1"/>
          <w:color w:val="auto"/>
        </w:rPr>
      </w:pPr>
    </w:p>
    <w:p>
      <w:pPr>
        <w:ind w:left="1220" w:hanging="289"/>
        <w:spacing w:after="0"/>
        <w:tabs>
          <w:tab w:leader="none" w:pos="12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Section 1.19 of the Existing Agreement is hereby amended to read as follows:</w:t>
      </w:r>
    </w:p>
    <w:p>
      <w:pPr>
        <w:spacing w:after="0" w:line="181" w:lineRule="exact"/>
        <w:rPr>
          <w:rFonts w:ascii="Arial" w:cs="Arial" w:eastAsia="Arial" w:hAnsi="Arial"/>
          <w:sz w:val="19"/>
          <w:szCs w:val="19"/>
          <w:color w:val="auto"/>
        </w:rPr>
      </w:pPr>
    </w:p>
    <w:p>
      <w:pPr>
        <w:ind w:left="1240"/>
        <w:spacing w:after="0" w:line="238" w:lineRule="auto"/>
        <w:rPr>
          <w:rFonts w:ascii="Arial" w:cs="Arial" w:eastAsia="Arial" w:hAnsi="Arial"/>
          <w:sz w:val="19"/>
          <w:szCs w:val="19"/>
          <w:color w:val="auto"/>
        </w:rPr>
      </w:pPr>
      <w:r>
        <w:rPr>
          <w:rFonts w:ascii="Arial" w:cs="Arial" w:eastAsia="Arial" w:hAnsi="Arial"/>
          <w:sz w:val="19"/>
          <w:szCs w:val="19"/>
          <w:color w:val="auto"/>
        </w:rPr>
        <w:t>“1.19. “</w:t>
      </w:r>
      <w:r>
        <w:rPr>
          <w:rFonts w:ascii="Arial" w:cs="Arial" w:eastAsia="Arial" w:hAnsi="Arial"/>
          <w:sz w:val="19"/>
          <w:szCs w:val="19"/>
          <w:b w:val="1"/>
          <w:bCs w:val="1"/>
          <w:i w:val="1"/>
          <w:iCs w:val="1"/>
          <w:color w:val="auto"/>
        </w:rPr>
        <w:t>Promotion</w:t>
      </w:r>
      <w:r>
        <w:rPr>
          <w:rFonts w:ascii="Arial" w:cs="Arial" w:eastAsia="Arial" w:hAnsi="Arial"/>
          <w:sz w:val="19"/>
          <w:szCs w:val="19"/>
          <w:color w:val="auto"/>
        </w:rPr>
        <w:t>” means Company’s displaying of the Advertiser Products directly related to either a personal loan product or an auto refinance loan product, in each case to Company Customers.”</w:t>
      </w:r>
    </w:p>
    <w:p>
      <w:pPr>
        <w:spacing w:after="0" w:line="140" w:lineRule="exact"/>
        <w:rPr>
          <w:rFonts w:ascii="Arial" w:cs="Arial" w:eastAsia="Arial" w:hAnsi="Arial"/>
          <w:sz w:val="19"/>
          <w:szCs w:val="19"/>
          <w:color w:val="auto"/>
        </w:rPr>
      </w:pPr>
    </w:p>
    <w:p>
      <w:pPr>
        <w:ind w:left="620" w:hanging="307"/>
        <w:spacing w:after="0"/>
        <w:tabs>
          <w:tab w:leader="none" w:pos="62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w:t>
      </w:r>
    </w:p>
    <w:p>
      <w:pPr>
        <w:spacing w:after="0" w:line="187" w:lineRule="exact"/>
        <w:rPr>
          <w:rFonts w:ascii="Arial" w:cs="Arial" w:eastAsia="Arial" w:hAnsi="Arial"/>
          <w:sz w:val="19"/>
          <w:szCs w:val="19"/>
          <w:b w:val="1"/>
          <w:bCs w:val="1"/>
          <w:color w:val="auto"/>
        </w:rPr>
      </w:pPr>
    </w:p>
    <w:p>
      <w:pPr>
        <w:ind w:left="1240" w:hanging="309"/>
        <w:spacing w:after="0" w:line="214" w:lineRule="auto"/>
        <w:tabs>
          <w:tab w:leader="none" w:pos="12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Auto Loan Application</w:t>
      </w:r>
      <w:r>
        <w:rPr>
          <w:rFonts w:ascii="Arial" w:cs="Arial" w:eastAsia="Arial" w:hAnsi="Arial"/>
          <w:sz w:val="19"/>
          <w:szCs w:val="19"/>
          <w:color w:val="auto"/>
        </w:rPr>
        <w:t>” means a loan application for an auto refinance that is completed and submitted by a Company Customer on the Advertiser Website.</w:t>
      </w:r>
    </w:p>
    <w:p>
      <w:pPr>
        <w:jc w:val="both"/>
        <w:ind w:left="1240" w:hanging="309"/>
        <w:spacing w:after="0" w:line="207" w:lineRule="auto"/>
        <w:tabs>
          <w:tab w:leader="none" w:pos="1229"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Funded Auto Loan</w:t>
      </w:r>
      <w:r>
        <w:rPr>
          <w:rFonts w:ascii="Arial" w:cs="Arial" w:eastAsia="Arial" w:hAnsi="Arial"/>
          <w:sz w:val="19"/>
          <w:szCs w:val="19"/>
          <w:color w:val="auto"/>
        </w:rPr>
        <w:t>” means an auto loan to a Company Customer resulting from an Auto Loan Application that was submitted (a) after clicking (or otherwise affirmatively acting) on an auto loan Promotion and (b) within thirty (30) days following Company Customer’s click (or other affirmative act) of the applicable auto refinance loan Promotion.</w:t>
      </w:r>
    </w:p>
    <w:p>
      <w:pPr>
        <w:spacing w:after="0" w:line="1" w:lineRule="exact"/>
        <w:rPr>
          <w:rFonts w:ascii="Arial" w:cs="Arial" w:eastAsia="Arial" w:hAnsi="Arial"/>
          <w:sz w:val="19"/>
          <w:szCs w:val="19"/>
          <w:color w:val="auto"/>
        </w:rPr>
      </w:pPr>
    </w:p>
    <w:p>
      <w:pPr>
        <w:ind w:left="1240" w:hanging="309"/>
        <w:spacing w:after="0" w:line="229" w:lineRule="auto"/>
        <w:tabs>
          <w:tab w:leader="none" w:pos="124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Invoice Period</w:t>
      </w:r>
      <w:r>
        <w:rPr>
          <w:rFonts w:ascii="Arial" w:cs="Arial" w:eastAsia="Arial" w:hAnsi="Arial"/>
          <w:sz w:val="19"/>
          <w:szCs w:val="19"/>
          <w:color w:val="auto"/>
        </w:rPr>
        <w:t>” means a full calendar month beginning on the first day of each calendar month and ending on the last day of the same calendar month (e.g. January 1 to January 31).</w:t>
      </w:r>
    </w:p>
    <w:p>
      <w:pPr>
        <w:spacing w:after="0" w:line="154" w:lineRule="exact"/>
        <w:rPr>
          <w:rFonts w:ascii="Arial" w:cs="Arial" w:eastAsia="Arial" w:hAnsi="Arial"/>
          <w:sz w:val="19"/>
          <w:szCs w:val="19"/>
          <w:color w:val="auto"/>
        </w:rPr>
      </w:pPr>
    </w:p>
    <w:p>
      <w:pPr>
        <w:ind w:left="620" w:hanging="307"/>
        <w:spacing w:after="0" w:line="234" w:lineRule="auto"/>
        <w:tabs>
          <w:tab w:leader="none" w:pos="620"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Marketing Fees</w:t>
      </w:r>
      <w:r>
        <w:rPr>
          <w:rFonts w:ascii="Arial" w:cs="Arial" w:eastAsia="Arial" w:hAnsi="Arial"/>
          <w:sz w:val="19"/>
          <w:szCs w:val="19"/>
          <w:color w:val="auto"/>
        </w:rPr>
        <w:t>. Marketing Fees payable by Advertiser to Company for each Funded Auto Loan shall be calculated according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schedule:</w:t>
      </w:r>
    </w:p>
    <w:p>
      <w:pPr>
        <w:spacing w:after="0" w:line="160" w:lineRule="exact"/>
        <w:rPr>
          <w:rFonts w:ascii="Arial" w:cs="Arial" w:eastAsia="Arial" w:hAnsi="Arial"/>
          <w:sz w:val="19"/>
          <w:szCs w:val="19"/>
          <w:b w:val="1"/>
          <w:bCs w:val="1"/>
          <w:color w:val="auto"/>
        </w:rPr>
      </w:pPr>
    </w:p>
    <w:p>
      <w:pPr>
        <w:ind w:left="1240" w:hanging="309"/>
        <w:spacing w:after="0" w:line="214" w:lineRule="auto"/>
        <w:tabs>
          <w:tab w:leader="none" w:pos="1229" w:val="left"/>
        </w:tabs>
        <w:numPr>
          <w:ilvl w:val="1"/>
          <w:numId w:val="53"/>
        </w:numPr>
        <w:rPr>
          <w:rFonts w:ascii="Arial" w:cs="Arial" w:eastAsia="Arial" w:hAnsi="Arial"/>
          <w:sz w:val="19"/>
          <w:szCs w:val="19"/>
          <w:color w:val="auto"/>
        </w:rPr>
      </w:pPr>
      <w:r>
        <w:rPr>
          <w:rFonts w:ascii="Arial" w:cs="Arial" w:eastAsia="Arial" w:hAnsi="Arial"/>
          <w:sz w:val="19"/>
          <w:szCs w:val="19"/>
          <w:color w:val="auto"/>
        </w:rPr>
        <w:t>For less than 1,000 Funded Auto Loans issued by Advertiser during an Invoice Period, the Marketing Fee per Funded Auto Loan shall be [***].</w:t>
      </w:r>
    </w:p>
    <w:p>
      <w:pPr>
        <w:ind w:left="1240" w:hanging="309"/>
        <w:spacing w:after="0" w:line="229" w:lineRule="auto"/>
        <w:tabs>
          <w:tab w:leader="none" w:pos="1234" w:val="left"/>
        </w:tabs>
        <w:numPr>
          <w:ilvl w:val="1"/>
          <w:numId w:val="53"/>
        </w:numPr>
        <w:rPr>
          <w:rFonts w:ascii="Arial" w:cs="Arial" w:eastAsia="Arial" w:hAnsi="Arial"/>
          <w:sz w:val="19"/>
          <w:szCs w:val="19"/>
          <w:color w:val="auto"/>
        </w:rPr>
      </w:pPr>
      <w:r>
        <w:rPr>
          <w:rFonts w:ascii="Arial" w:cs="Arial" w:eastAsia="Arial" w:hAnsi="Arial"/>
          <w:sz w:val="19"/>
          <w:szCs w:val="19"/>
          <w:color w:val="auto"/>
        </w:rPr>
        <w:t>For 1,000 or more Funded Auto Loans issued by Advertiser during an Invoice Period, the Marketing Fee per Funded Auto Loan shall be [***].</w:t>
      </w:r>
    </w:p>
    <w:p>
      <w:pPr>
        <w:sectPr>
          <w:pgSz w:w="11900" w:h="16838" w:orient="portrait"/>
          <w:cols w:equalWidth="0" w:num="1">
            <w:col w:w="11240"/>
          </w:cols>
          <w:pgMar w:left="320" w:top="105" w:right="339" w:bottom="1440" w:gutter="0" w:footer="0" w:header="0"/>
        </w:sectPr>
      </w:pPr>
    </w:p>
    <w:bookmarkStart w:id="133" w:name="page134"/>
    <w:bookmarkEnd w:id="133"/>
    <w:p>
      <w:pPr>
        <w:ind w:left="307" w:hanging="307"/>
        <w:spacing w:after="0" w:line="243" w:lineRule="auto"/>
        <w:tabs>
          <w:tab w:leader="none" w:pos="307"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 For the purposes of this Exhibit A, notice shall be deemed given twenty-four (24) hours from the time any such electronic</w:t>
      </w:r>
      <w:r>
        <w:rPr>
          <w:rFonts w:ascii="Arial" w:cs="Arial" w:eastAsia="Arial" w:hAnsi="Arial"/>
          <w:sz w:val="19"/>
          <w:szCs w:val="19"/>
          <w:b w:val="1"/>
          <w:bCs w:val="1"/>
          <w:color w:val="auto"/>
        </w:rPr>
        <w:t xml:space="preserve"> </w:t>
      </w:r>
      <w:r>
        <w:rPr>
          <w:rFonts w:ascii="Arial" w:cs="Arial" w:eastAsia="Arial" w:hAnsi="Arial"/>
          <w:sz w:val="19"/>
          <w:szCs w:val="19"/>
          <w:color w:val="auto"/>
        </w:rPr>
        <w:t>mail communication was sent.</w:t>
      </w:r>
    </w:p>
    <w:p>
      <w:pPr>
        <w:spacing w:after="0" w:line="137" w:lineRule="exact"/>
        <w:rPr>
          <w:rFonts w:ascii="Arial" w:cs="Arial" w:eastAsia="Arial" w:hAnsi="Arial"/>
          <w:sz w:val="19"/>
          <w:szCs w:val="19"/>
          <w:b w:val="1"/>
          <w:bCs w:val="1"/>
          <w:color w:val="auto"/>
        </w:rPr>
      </w:pPr>
    </w:p>
    <w:p>
      <w:pPr>
        <w:jc w:val="both"/>
        <w:ind w:left="307" w:hanging="307"/>
        <w:spacing w:after="0" w:line="247" w:lineRule="auto"/>
        <w:tabs>
          <w:tab w:leader="none" w:pos="30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No Marketing Fee shall be due for any Funded Auto Loan for a resident of Massachusetts where (i) the amount of the Funded</w:t>
      </w:r>
      <w:r>
        <w:rPr>
          <w:rFonts w:ascii="Arial" w:cs="Arial" w:eastAsia="Arial" w:hAnsi="Arial"/>
          <w:sz w:val="18"/>
          <w:szCs w:val="18"/>
          <w:b w:val="1"/>
          <w:bCs w:val="1"/>
          <w:color w:val="auto"/>
        </w:rPr>
        <w:t xml:space="preserve"> </w:t>
      </w:r>
      <w:r>
        <w:rPr>
          <w:rFonts w:ascii="Arial" w:cs="Arial" w:eastAsia="Arial" w:hAnsi="Arial"/>
          <w:sz w:val="18"/>
          <w:szCs w:val="18"/>
          <w:color w:val="auto"/>
        </w:rPr>
        <w:t>Auto Loan is $6,500.00 or less; and (ii) the Funded Auto Loan has an APR of 23.00% or more. For clarification, Advertiser must report these Funded Auto Loans to Credit Karma as set forth herein, and a $0.00 Marketing Fee shall be applied.</w:t>
      </w:r>
    </w:p>
    <w:p>
      <w:pPr>
        <w:spacing w:after="0" w:line="134" w:lineRule="exact"/>
        <w:rPr>
          <w:rFonts w:ascii="Arial" w:cs="Arial" w:eastAsia="Arial" w:hAnsi="Arial"/>
          <w:sz w:val="18"/>
          <w:szCs w:val="18"/>
          <w:b w:val="1"/>
          <w:bCs w:val="1"/>
          <w:color w:val="auto"/>
        </w:rPr>
      </w:pPr>
    </w:p>
    <w:p>
      <w:pPr>
        <w:jc w:val="both"/>
        <w:ind w:left="307" w:hanging="307"/>
        <w:spacing w:after="0" w:line="227" w:lineRule="auto"/>
        <w:tabs>
          <w:tab w:leader="none" w:pos="30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w:t>
      </w:r>
      <w:r>
        <w:rPr>
          <w:rFonts w:ascii="Arial" w:cs="Arial" w:eastAsia="Arial" w:hAnsi="Arial"/>
          <w:sz w:val="18"/>
          <w:szCs w:val="18"/>
          <w:color w:val="auto"/>
        </w:rPr>
        <w:t>. Advertiser will deliver to Credit Karma a daily, rolling historical report detailing certain user-level data at minimum to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fields specified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and to the extent Advertiser can reasonably gather and share such data, regarding the performance of the applicable Advertiser Products. The form of such reports shall be mutually agreed upon by the parties in advance. Advertiser may share additional reporting on a weekly or monthly basis via ad hoc reporting files or other means, outside the daily rolling historical report. Requested changes to this reporting (either content or cadence) must be agreed upon by both Parties in advance (email shall suffice). In each case, user-level reporting shall be tied to the unique identification number which Credit Karma shall append to each Advertiser offer link. To the extent either Party reasonably determines that the sharing of any such information does not comply with applicable law, then the Parties agree to negotiate in good faith to share such other information that is legally permitted to achieve the anticipated practical benefits intended by the information sharing.</w:t>
      </w:r>
    </w:p>
    <w:p>
      <w:pPr>
        <w:spacing w:after="0" w:line="146" w:lineRule="exact"/>
        <w:rPr>
          <w:rFonts w:ascii="Arial" w:cs="Arial" w:eastAsia="Arial" w:hAnsi="Arial"/>
          <w:sz w:val="18"/>
          <w:szCs w:val="18"/>
          <w:b w:val="1"/>
          <w:bCs w:val="1"/>
          <w:color w:val="auto"/>
        </w:rPr>
      </w:pPr>
    </w:p>
    <w:p>
      <w:pPr>
        <w:jc w:val="both"/>
        <w:ind w:left="307" w:hanging="307"/>
        <w:spacing w:after="0" w:line="249" w:lineRule="auto"/>
        <w:tabs>
          <w:tab w:leader="none" w:pos="307"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Record Retention</w:t>
      </w:r>
      <w:r>
        <w:rPr>
          <w:rFonts w:ascii="Arial" w:cs="Arial" w:eastAsia="Arial" w:hAnsi="Arial"/>
          <w:sz w:val="17"/>
          <w:szCs w:val="17"/>
          <w:color w:val="auto"/>
        </w:rPr>
        <w:t>. Advertiser shall maintain the Loan Records related to Funded Auto Loans under this Addendum for at least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of time as Advertiser maintains Loan Records for any other loans funded in its normal course of business, but in no case less than the period of time required by applicable law. Where Credit Karma is required to provide Loan Records for Funded Auto Loans to a government regulator and Credit Karma is not already in possession of such Loan Records, Advertiser agrees, upon reasonable notice from Credit Karma, to reasonably cooperate with Credit Karma in providing such Loan Records to the government regulators.</w:t>
      </w:r>
    </w:p>
    <w:p>
      <w:pPr>
        <w:spacing w:after="0" w:line="146" w:lineRule="exact"/>
        <w:rPr>
          <w:rFonts w:ascii="Arial" w:cs="Arial" w:eastAsia="Arial" w:hAnsi="Arial"/>
          <w:sz w:val="17"/>
          <w:szCs w:val="17"/>
          <w:b w:val="1"/>
          <w:bCs w:val="1"/>
          <w:color w:val="auto"/>
        </w:rPr>
      </w:pPr>
    </w:p>
    <w:p>
      <w:pPr>
        <w:jc w:val="both"/>
        <w:ind w:left="307" w:hanging="307"/>
        <w:spacing w:after="0" w:line="214" w:lineRule="auto"/>
        <w:tabs>
          <w:tab w:leader="none" w:pos="307"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Limited Effect</w:t>
      </w:r>
      <w:r>
        <w:rPr>
          <w:rFonts w:ascii="Arial" w:cs="Arial" w:eastAsia="Arial" w:hAnsi="Arial"/>
          <w:sz w:val="19"/>
          <w:szCs w:val="19"/>
          <w:color w:val="auto"/>
        </w:rPr>
        <w:t>. Except as expressly provided in this Addendum, all of the terms and provisions of the Existing Agreement are and will</w:t>
      </w:r>
      <w:r>
        <w:rPr>
          <w:rFonts w:ascii="Arial" w:cs="Arial" w:eastAsia="Arial" w:hAnsi="Arial"/>
          <w:sz w:val="19"/>
          <w:szCs w:val="19"/>
          <w:b w:val="1"/>
          <w:bCs w:val="1"/>
          <w:color w:val="auto"/>
        </w:rPr>
        <w:t xml:space="preserve"> </w:t>
      </w:r>
      <w:r>
        <w:rPr>
          <w:rFonts w:ascii="Arial" w:cs="Arial" w:eastAsia="Arial" w:hAnsi="Arial"/>
          <w:sz w:val="19"/>
          <w:szCs w:val="19"/>
          <w:color w:val="auto"/>
        </w:rPr>
        <w:t>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each reference in the Existing Agreement to “this Agreement,” “the Agreement,” “hereunder,” “hereof,” “herein” or words of like import, and each reference to the Existing Agreement in any other agreements, documents or instruments executed and delivered pursuant to, or in connection with, the Existing Agreement will mean and be a reference to the Existing Agreement as amended by this Addendum.</w:t>
      </w:r>
    </w:p>
    <w:p>
      <w:pPr>
        <w:spacing w:after="0" w:line="156" w:lineRule="exact"/>
        <w:rPr>
          <w:rFonts w:ascii="Arial" w:cs="Arial" w:eastAsia="Arial" w:hAnsi="Arial"/>
          <w:sz w:val="19"/>
          <w:szCs w:val="19"/>
          <w:b w:val="1"/>
          <w:bCs w:val="1"/>
          <w:color w:val="auto"/>
        </w:rPr>
      </w:pPr>
    </w:p>
    <w:p>
      <w:pPr>
        <w:jc w:val="both"/>
        <w:ind w:left="307" w:hanging="307"/>
        <w:spacing w:after="0" w:line="228" w:lineRule="auto"/>
        <w:tabs>
          <w:tab w:leader="none" w:pos="307"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This Addendum is governed by, and construed in accordance with, the laws of the State of California, without regard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provisions of such State. The headings in this Addendum are for reference only and do not affect the interpretation of this Addendum. This Addendum may be executed in counterparts, each of which is deemed an original, but all of which constitutes one and the same agreement. Delivery of an executed counterpart of this Addendum electronically or by facsimile shall be effective as delivery of an original executed counterpart of this Addendum. This Addendum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ectPr>
          <w:pgSz w:w="11900" w:h="16838" w:orient="portrait"/>
          <w:cols w:equalWidth="0" w:num="1">
            <w:col w:w="10927"/>
          </w:cols>
          <w:pgMar w:left="633" w:top="1380" w:right="3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Party has caused this Addendum to be signed by its duly authorized officer as of the Effective Date.</w:t>
      </w:r>
    </w:p>
    <w:p>
      <w:pPr>
        <w:sectPr>
          <w:pgSz w:w="11900" w:h="16838" w:orient="portrait"/>
          <w:cols w:equalWidth="0" w:num="1">
            <w:col w:w="10139"/>
          </w:cols>
          <w:pgMar w:left="320" w:top="1380" w:right="1440" w:bottom="1440" w:gutter="0" w:footer="0" w:header="0"/>
        </w:sectPr>
      </w:pP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3960" w:type="dxa"/>
            <w:vAlign w:val="bottom"/>
            <w:gridSpan w:val="8"/>
          </w:tcPr>
          <w:p>
            <w:pPr>
              <w:spacing w:after="0"/>
              <w:rPr>
                <w:sz w:val="20"/>
                <w:szCs w:val="20"/>
                <w:color w:val="auto"/>
              </w:rPr>
            </w:pPr>
            <w:r>
              <w:rPr>
                <w:rFonts w:ascii="Arial" w:cs="Arial" w:eastAsia="Arial" w:hAnsi="Arial"/>
                <w:sz w:val="19"/>
                <w:szCs w:val="19"/>
                <w:b w:val="1"/>
                <w:bCs w:val="1"/>
                <w:color w:val="auto"/>
              </w:rPr>
              <w:t>ADVERTISER CORPORATION</w:t>
            </w:r>
          </w:p>
        </w:tc>
        <w:tc>
          <w:tcPr>
            <w:tcW w:w="4320" w:type="dxa"/>
            <w:vAlign w:val="bottom"/>
            <w:gridSpan w:val="6"/>
          </w:tcPr>
          <w:p>
            <w:pPr>
              <w:ind w:left="1260"/>
              <w:spacing w:after="0"/>
              <w:rPr>
                <w:sz w:val="20"/>
                <w:szCs w:val="20"/>
                <w:color w:val="auto"/>
              </w:rPr>
            </w:pPr>
            <w:r>
              <w:rPr>
                <w:rFonts w:ascii="Arial" w:cs="Arial" w:eastAsia="Arial" w:hAnsi="Arial"/>
                <w:sz w:val="19"/>
                <w:szCs w:val="19"/>
                <w:b w:val="1"/>
                <w:bCs w:val="1"/>
                <w:color w:val="auto"/>
              </w:rPr>
              <w:t>CREDIT KARMA OFFERS, INC.</w:t>
            </w:r>
          </w:p>
        </w:tc>
      </w:tr>
      <w:tr>
        <w:trPr>
          <w:trHeight w:val="202"/>
        </w:trPr>
        <w:tc>
          <w:tcPr>
            <w:tcW w:w="3960" w:type="dxa"/>
            <w:vAlign w:val="bottom"/>
            <w:gridSpan w:val="8"/>
          </w:tcPr>
          <w:p>
            <w:pPr>
              <w:spacing w:after="0" w:line="202" w:lineRule="exact"/>
              <w:rPr>
                <w:sz w:val="20"/>
                <w:szCs w:val="20"/>
                <w:color w:val="auto"/>
              </w:rPr>
            </w:pPr>
            <w:r>
              <w:rPr>
                <w:rFonts w:ascii="Arial" w:cs="Arial" w:eastAsia="Arial" w:hAnsi="Arial"/>
                <w:sz w:val="19"/>
                <w:szCs w:val="19"/>
                <w:color w:val="auto"/>
              </w:rPr>
              <w:t>By:  /s/ Ada Ortega</w:t>
            </w:r>
          </w:p>
        </w:tc>
        <w:tc>
          <w:tcPr>
            <w:tcW w:w="4320" w:type="dxa"/>
            <w:vAlign w:val="bottom"/>
            <w:gridSpan w:val="6"/>
          </w:tcPr>
          <w:p>
            <w:pPr>
              <w:ind w:left="1260"/>
              <w:spacing w:after="0" w:line="202" w:lineRule="exact"/>
              <w:rPr>
                <w:sz w:val="20"/>
                <w:szCs w:val="20"/>
                <w:color w:val="auto"/>
              </w:rPr>
            </w:pPr>
            <w:r>
              <w:rPr>
                <w:rFonts w:ascii="Arial" w:cs="Arial" w:eastAsia="Arial" w:hAnsi="Arial"/>
                <w:sz w:val="19"/>
                <w:szCs w:val="19"/>
                <w:color w:val="auto"/>
              </w:rPr>
              <w:t>By:  /s/ Gurpreet Singh</w:t>
            </w:r>
          </w:p>
        </w:tc>
      </w:tr>
      <w:tr>
        <w:trPr>
          <w:trHeight w:val="20"/>
        </w:trPr>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31"/>
        </w:trPr>
        <w:tc>
          <w:tcPr>
            <w:tcW w:w="560" w:type="dxa"/>
            <w:vAlign w:val="bottom"/>
            <w:gridSpan w:val="2"/>
          </w:tcPr>
          <w:p>
            <w:pPr>
              <w:spacing w:after="0"/>
              <w:rPr>
                <w:sz w:val="20"/>
                <w:szCs w:val="20"/>
                <w:color w:val="auto"/>
              </w:rPr>
            </w:pPr>
            <w:r>
              <w:rPr>
                <w:rFonts w:ascii="Arial" w:cs="Arial" w:eastAsia="Arial" w:hAnsi="Arial"/>
                <w:sz w:val="19"/>
                <w:szCs w:val="19"/>
                <w:color w:val="auto"/>
                <w:w w:val="96"/>
              </w:rPr>
              <w:t>Name: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Ada Ortega</w:t>
            </w:r>
          </w:p>
        </w:tc>
        <w:tc>
          <w:tcPr>
            <w:tcW w:w="2200" w:type="dxa"/>
            <w:vAlign w:val="bottom"/>
            <w:gridSpan w:val="3"/>
          </w:tcPr>
          <w:p>
            <w:pPr>
              <w:spacing w:after="0"/>
              <w:rPr>
                <w:sz w:val="24"/>
                <w:szCs w:val="24"/>
                <w:color w:val="auto"/>
              </w:rPr>
            </w:pPr>
          </w:p>
        </w:tc>
        <w:tc>
          <w:tcPr>
            <w:tcW w:w="1840" w:type="dxa"/>
            <w:vAlign w:val="bottom"/>
            <w:gridSpan w:val="2"/>
          </w:tcPr>
          <w:p>
            <w:pPr>
              <w:ind w:left="1260"/>
              <w:spacing w:after="0"/>
              <w:rPr>
                <w:sz w:val="20"/>
                <w:szCs w:val="20"/>
                <w:color w:val="auto"/>
              </w:rPr>
            </w:pPr>
            <w:r>
              <w:rPr>
                <w:rFonts w:ascii="Arial" w:cs="Arial" w:eastAsia="Arial" w:hAnsi="Arial"/>
                <w:sz w:val="19"/>
                <w:szCs w:val="19"/>
                <w:color w:val="auto"/>
                <w:w w:val="99"/>
              </w:rPr>
              <w:t>Name: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ind w:right="106"/>
              <w:spacing w:after="0"/>
              <w:rPr>
                <w:sz w:val="20"/>
                <w:szCs w:val="20"/>
                <w:color w:val="auto"/>
              </w:rPr>
            </w:pPr>
            <w:r>
              <w:rPr>
                <w:rFonts w:ascii="Arial" w:cs="Arial" w:eastAsia="Arial" w:hAnsi="Arial"/>
                <w:sz w:val="19"/>
                <w:szCs w:val="19"/>
                <w:color w:val="auto"/>
                <w:w w:val="88"/>
              </w:rPr>
              <w:t>Gurpreet Singh</w:t>
            </w:r>
          </w:p>
        </w:tc>
        <w:tc>
          <w:tcPr>
            <w:tcW w:w="1020" w:type="dxa"/>
            <w:vAlign w:val="bottom"/>
          </w:tcPr>
          <w:p>
            <w:pPr>
              <w:spacing w:after="0"/>
              <w:rPr>
                <w:sz w:val="24"/>
                <w:szCs w:val="24"/>
                <w:color w:val="auto"/>
              </w:rPr>
            </w:pPr>
          </w:p>
        </w:tc>
      </w:tr>
      <w:tr>
        <w:trPr>
          <w:trHeight w:val="431"/>
        </w:trPr>
        <w:tc>
          <w:tcPr>
            <w:tcW w:w="560" w:type="dxa"/>
            <w:vAlign w:val="bottom"/>
            <w:gridSpan w:val="2"/>
          </w:tcPr>
          <w:p>
            <w:pPr>
              <w:spacing w:after="0"/>
              <w:rPr>
                <w:sz w:val="20"/>
                <w:szCs w:val="20"/>
                <w:color w:val="auto"/>
              </w:rPr>
            </w:pPr>
            <w:r>
              <w:rPr>
                <w:rFonts w:ascii="Arial" w:cs="Arial" w:eastAsia="Arial" w:hAnsi="Arial"/>
                <w:sz w:val="19"/>
                <w:szCs w:val="19"/>
                <w:color w:val="auto"/>
              </w:rPr>
              <w:t>Title:</w:t>
            </w:r>
          </w:p>
        </w:tc>
        <w:tc>
          <w:tcPr>
            <w:tcW w:w="3400" w:type="dxa"/>
            <w:vAlign w:val="bottom"/>
            <w:gridSpan w:val="6"/>
          </w:tcPr>
          <w:p>
            <w:pPr>
              <w:ind w:left="40"/>
              <w:spacing w:after="0"/>
              <w:rPr>
                <w:sz w:val="20"/>
                <w:szCs w:val="20"/>
                <w:color w:val="auto"/>
              </w:rPr>
            </w:pPr>
            <w:r>
              <w:rPr>
                <w:rFonts w:ascii="Arial" w:cs="Arial" w:eastAsia="Arial" w:hAnsi="Arial"/>
                <w:sz w:val="19"/>
                <w:szCs w:val="19"/>
                <w:color w:val="auto"/>
              </w:rPr>
              <w:t>Head of Procurement</w:t>
            </w:r>
          </w:p>
        </w:tc>
        <w:tc>
          <w:tcPr>
            <w:tcW w:w="1840" w:type="dxa"/>
            <w:vAlign w:val="bottom"/>
            <w:gridSpan w:val="2"/>
          </w:tcPr>
          <w:p>
            <w:pPr>
              <w:ind w:left="1260"/>
              <w:spacing w:after="0"/>
              <w:rPr>
                <w:sz w:val="20"/>
                <w:szCs w:val="20"/>
                <w:color w:val="auto"/>
              </w:rPr>
            </w:pPr>
            <w:r>
              <w:rPr>
                <w:rFonts w:ascii="Arial" w:cs="Arial" w:eastAsia="Arial" w:hAnsi="Arial"/>
                <w:sz w:val="19"/>
                <w:szCs w:val="19"/>
                <w:color w:val="auto"/>
              </w:rPr>
              <w:t>Title:</w:t>
            </w:r>
          </w:p>
        </w:tc>
        <w:tc>
          <w:tcPr>
            <w:tcW w:w="2480" w:type="dxa"/>
            <w:vAlign w:val="bottom"/>
            <w:gridSpan w:val="4"/>
          </w:tcPr>
          <w:p>
            <w:pPr>
              <w:spacing w:after="0"/>
              <w:rPr>
                <w:sz w:val="20"/>
                <w:szCs w:val="20"/>
                <w:color w:val="auto"/>
              </w:rPr>
            </w:pPr>
            <w:r>
              <w:rPr>
                <w:rFonts w:ascii="Arial" w:cs="Arial" w:eastAsia="Arial" w:hAnsi="Arial"/>
                <w:sz w:val="19"/>
                <w:szCs w:val="19"/>
                <w:color w:val="auto"/>
                <w:w w:val="96"/>
              </w:rPr>
              <w:t>General Manager, Auto Loans</w:t>
            </w:r>
          </w:p>
        </w:tc>
      </w:tr>
      <w:tr>
        <w:trPr>
          <w:trHeight w:val="431"/>
        </w:trPr>
        <w:tc>
          <w:tcPr>
            <w:tcW w:w="560" w:type="dxa"/>
            <w:vAlign w:val="bottom"/>
            <w:gridSpan w:val="2"/>
          </w:tcPr>
          <w:p>
            <w:pPr>
              <w:spacing w:after="0"/>
              <w:rPr>
                <w:sz w:val="20"/>
                <w:szCs w:val="20"/>
                <w:color w:val="auto"/>
              </w:rPr>
            </w:pPr>
            <w:r>
              <w:rPr>
                <w:rFonts w:ascii="Arial" w:cs="Arial" w:eastAsia="Arial" w:hAnsi="Arial"/>
                <w:sz w:val="19"/>
                <w:szCs w:val="19"/>
                <w:color w:val="auto"/>
              </w:rPr>
              <w:t>Date:</w:t>
            </w:r>
          </w:p>
        </w:tc>
        <w:tc>
          <w:tcPr>
            <w:tcW w:w="40" w:type="dxa"/>
            <w:vAlign w:val="bottom"/>
          </w:tcPr>
          <w:p>
            <w:pPr>
              <w:spacing w:after="0"/>
              <w:rPr>
                <w:sz w:val="24"/>
                <w:szCs w:val="24"/>
                <w:color w:val="auto"/>
              </w:rPr>
            </w:pPr>
          </w:p>
        </w:tc>
        <w:tc>
          <w:tcPr>
            <w:tcW w:w="14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9"/>
                <w:szCs w:val="19"/>
                <w:color w:val="auto"/>
              </w:rPr>
              <w:t>August 22, 2022</w:t>
            </w:r>
          </w:p>
        </w:tc>
        <w:tc>
          <w:tcPr>
            <w:tcW w:w="36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40" w:type="dxa"/>
            <w:vAlign w:val="bottom"/>
            <w:gridSpan w:val="2"/>
          </w:tcPr>
          <w:p>
            <w:pPr>
              <w:ind w:left="1260"/>
              <w:spacing w:after="0"/>
              <w:rPr>
                <w:sz w:val="20"/>
                <w:szCs w:val="20"/>
                <w:color w:val="auto"/>
              </w:rPr>
            </w:pPr>
            <w:r>
              <w:rPr>
                <w:rFonts w:ascii="Arial" w:cs="Arial" w:eastAsia="Arial" w:hAnsi="Arial"/>
                <w:sz w:val="19"/>
                <w:szCs w:val="19"/>
                <w:color w:val="auto"/>
              </w:rPr>
              <w:t>Date:</w:t>
            </w:r>
          </w:p>
        </w:tc>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bottom w:val="single" w:sz="8" w:color="auto"/>
            </w:tcBorders>
            <w:gridSpan w:val="2"/>
          </w:tcPr>
          <w:p>
            <w:pPr>
              <w:jc w:val="right"/>
              <w:ind w:right="106"/>
              <w:spacing w:after="0"/>
              <w:rPr>
                <w:sz w:val="20"/>
                <w:szCs w:val="20"/>
                <w:color w:val="auto"/>
              </w:rPr>
            </w:pPr>
            <w:r>
              <w:rPr>
                <w:rFonts w:ascii="Arial" w:cs="Arial" w:eastAsia="Arial" w:hAnsi="Arial"/>
                <w:sz w:val="19"/>
                <w:szCs w:val="19"/>
                <w:color w:val="auto"/>
                <w:w w:val="88"/>
              </w:rPr>
              <w:t>August 22, 2022</w:t>
            </w: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0139"/>
          </w:cols>
          <w:pgMar w:left="320" w:top="1380" w:right="1440" w:bottom="1440" w:gutter="0" w:footer="0" w:header="0"/>
          <w:type w:val="continuous"/>
        </w:sectPr>
      </w:pPr>
    </w:p>
    <w:bookmarkStart w:id="135" w:name="page136"/>
    <w:bookmarkEnd w:id="135"/>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EXHIBIT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25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Field Name</w:t>
            </w:r>
          </w:p>
        </w:tc>
        <w:tc>
          <w:tcPr>
            <w:tcW w:w="24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Format</w:t>
            </w:r>
          </w:p>
        </w:tc>
        <w:tc>
          <w:tcPr>
            <w:tcW w:w="3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If Applicable</w:t>
            </w:r>
          </w:p>
        </w:tc>
        <w:tc>
          <w:tcPr>
            <w:tcW w:w="3120" w:type="dxa"/>
            <w:vAlign w:val="bottom"/>
            <w:tcBorders>
              <w:top w:val="single" w:sz="8" w:color="auto"/>
              <w:bottom w:val="single" w:sz="8" w:color="auto"/>
              <w:right w:val="single" w:sz="8" w:color="auto"/>
            </w:tcBorders>
          </w:tcPr>
          <w:p>
            <w:pPr>
              <w:jc w:val="right"/>
              <w:ind w:right="1061"/>
              <w:spacing w:after="0"/>
              <w:rPr>
                <w:sz w:val="20"/>
                <w:szCs w:val="20"/>
                <w:color w:val="auto"/>
              </w:rPr>
            </w:pPr>
            <w:r>
              <w:rPr>
                <w:rFonts w:ascii="Arial" w:cs="Arial" w:eastAsia="Arial" w:hAnsi="Arial"/>
                <w:sz w:val="20"/>
                <w:szCs w:val="20"/>
                <w:b w:val="1"/>
                <w:bCs w:val="1"/>
                <w:color w:val="auto"/>
              </w:rPr>
              <w:t>Formatted Example*</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SourceEventId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STRING/INTEGER</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Application ID, 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5246073</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CK tracking ID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37795000000</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applicationDate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DATE: yyyy-MM-dd</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2021-12-31</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approvalDate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DATE: yyyy-MM-dd</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2021-12-31</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listedDate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DATE: yyyy-MM-dd</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2021-12-31</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fundedDate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DATE: yyyy-MM-dd</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2021-12-31</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isConversion</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BINARY: 0 or 1</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amountApplied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13720.07</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amountApproved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13720.07</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amountListed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13720.07</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amountFunded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13720.07</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termApplied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48</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termApproved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48</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termListed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48</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termFunded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48</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rateApplied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11.46</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rateApproved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11.46</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rateListed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11.46</w:t>
            </w:r>
          </w:p>
        </w:tc>
      </w:tr>
      <w:tr>
        <w:trPr>
          <w:trHeight w:val="238"/>
        </w:trPr>
        <w:tc>
          <w:tcPr>
            <w:tcW w:w="2560" w:type="dxa"/>
            <w:vAlign w:val="bottom"/>
            <w:tcBorders>
              <w:left w:val="single" w:sz="8" w:color="auto"/>
              <w:bottom w:val="single" w:sz="8" w:color="auto"/>
              <w:right w:val="single" w:sz="8" w:color="auto"/>
            </w:tcBorders>
            <w:shd w:val="clear" w:color="auto" w:fill="CCCCCC"/>
          </w:tcPr>
          <w:p>
            <w:pPr>
              <w:ind w:left="80"/>
              <w:spacing w:after="0"/>
              <w:rPr>
                <w:sz w:val="20"/>
                <w:szCs w:val="20"/>
                <w:color w:val="auto"/>
              </w:rPr>
            </w:pPr>
            <w:r>
              <w:rPr>
                <w:rFonts w:ascii="Arial" w:cs="Arial" w:eastAsia="Arial" w:hAnsi="Arial"/>
                <w:sz w:val="20"/>
                <w:szCs w:val="20"/>
                <w:color w:val="auto"/>
              </w:rPr>
              <w:t>rateFunded</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11.46</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Make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JEEP</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Model</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RENEGADE</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ModelYear</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2015</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Mileage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INTEGER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54248</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trim</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UTILITY 4D LATITUDE 4WD</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Income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140000</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ltv</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NUMBER</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71</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state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GA</w:t>
            </w:r>
          </w:p>
        </w:tc>
      </w:tr>
      <w:tr>
        <w:trPr>
          <w:trHeight w:val="238"/>
        </w:trPr>
        <w:tc>
          <w:tcPr>
            <w:tcW w:w="2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loanType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Refinance</w:t>
            </w:r>
          </w:p>
        </w:tc>
      </w:tr>
      <w:tr>
        <w:trPr>
          <w:trHeight w:val="238"/>
        </w:trPr>
        <w:tc>
          <w:tcPr>
            <w:tcW w:w="2560" w:type="dxa"/>
            <w:vAlign w:val="bottom"/>
            <w:tcBorders>
              <w:left w:val="single" w:sz="8" w:color="auto"/>
              <w:bottom w:val="single" w:sz="8" w:color="auto"/>
              <w:right w:val="single" w:sz="8" w:color="auto"/>
            </w:tcBorders>
            <w:shd w:val="clear" w:color="auto" w:fill="FCE5CD"/>
          </w:tcPr>
          <w:p>
            <w:pPr>
              <w:ind w:left="80"/>
              <w:spacing w:after="0"/>
              <w:rPr>
                <w:sz w:val="20"/>
                <w:szCs w:val="20"/>
                <w:color w:val="auto"/>
              </w:rPr>
            </w:pPr>
            <w:r>
              <w:rPr>
                <w:rFonts w:ascii="Arial" w:cs="Arial" w:eastAsia="Arial" w:hAnsi="Arial"/>
                <w:sz w:val="20"/>
                <w:szCs w:val="20"/>
                <w:color w:val="auto"/>
              </w:rPr>
              <w:t>lbModelNumber</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LB only</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30029</w:t>
            </w:r>
          </w:p>
        </w:tc>
      </w:tr>
      <w:tr>
        <w:trPr>
          <w:trHeight w:val="238"/>
        </w:trPr>
        <w:tc>
          <w:tcPr>
            <w:tcW w:w="2560" w:type="dxa"/>
            <w:vAlign w:val="bottom"/>
            <w:tcBorders>
              <w:left w:val="single" w:sz="8" w:color="auto"/>
              <w:bottom w:val="single" w:sz="8" w:color="auto"/>
              <w:right w:val="single" w:sz="8" w:color="auto"/>
            </w:tcBorders>
            <w:shd w:val="clear" w:color="auto" w:fill="FCE5CD"/>
          </w:tcPr>
          <w:p>
            <w:pPr>
              <w:ind w:left="80"/>
              <w:spacing w:after="0"/>
              <w:rPr>
                <w:sz w:val="20"/>
                <w:szCs w:val="20"/>
                <w:color w:val="auto"/>
              </w:rPr>
            </w:pPr>
            <w:r>
              <w:rPr>
                <w:rFonts w:ascii="Arial" w:cs="Arial" w:eastAsia="Arial" w:hAnsi="Arial"/>
                <w:sz w:val="20"/>
                <w:szCs w:val="20"/>
                <w:color w:val="auto"/>
              </w:rPr>
              <w:t>LB Pricing Indicator</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BINARY: 0 or 1</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LB only, if applicable</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w:t>
            </w:r>
          </w:p>
        </w:tc>
      </w:tr>
      <w:tr>
        <w:trPr>
          <w:trHeight w:val="238"/>
        </w:trPr>
        <w:tc>
          <w:tcPr>
            <w:tcW w:w="2560" w:type="dxa"/>
            <w:vAlign w:val="bottom"/>
            <w:tcBorders>
              <w:left w:val="single" w:sz="8" w:color="auto"/>
              <w:bottom w:val="single" w:sz="8" w:color="auto"/>
              <w:right w:val="single" w:sz="8" w:color="auto"/>
            </w:tcBorders>
            <w:shd w:val="clear" w:color="auto" w:fill="FCE5CD"/>
          </w:tcPr>
          <w:p>
            <w:pPr>
              <w:ind w:left="80"/>
              <w:spacing w:after="0"/>
              <w:rPr>
                <w:sz w:val="20"/>
                <w:szCs w:val="20"/>
                <w:color w:val="auto"/>
              </w:rPr>
            </w:pPr>
            <w:r>
              <w:rPr>
                <w:rFonts w:ascii="Arial" w:cs="Arial" w:eastAsia="Arial" w:hAnsi="Arial"/>
                <w:sz w:val="20"/>
                <w:szCs w:val="20"/>
                <w:color w:val="auto"/>
              </w:rPr>
              <w:t>lbOfferBadge</w:t>
            </w:r>
          </w:p>
        </w:tc>
        <w:tc>
          <w:tcPr>
            <w:tcW w:w="2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STRING</w:t>
            </w:r>
          </w:p>
        </w:tc>
        <w:tc>
          <w:tcPr>
            <w:tcW w:w="3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LB only</w:t>
            </w:r>
          </w:p>
        </w:tc>
        <w:tc>
          <w:tcPr>
            <w:tcW w:w="3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os</w:t>
            </w:r>
          </w:p>
        </w:tc>
      </w:tr>
    </w:tbl>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 avoidance of doubt, the rightmost column of this Exhibit A is for illustrative purposes only.</w:t>
      </w:r>
    </w:p>
    <w:p>
      <w:pPr>
        <w:sectPr>
          <w:pgSz w:w="11900" w:h="16838" w:orient="portrait"/>
          <w:cols w:equalWidth="0" w:num="1">
            <w:col w:w="11260"/>
          </w:cols>
          <w:pgMar w:left="320" w:top="1440" w:right="319" w:bottom="1440" w:gutter="0" w:footer="0" w:header="0"/>
        </w:sectPr>
      </w:pPr>
    </w:p>
    <w:bookmarkStart w:id="136" w:name="page137"/>
    <w:bookmarkEnd w:id="136"/>
    <w:p>
      <w:pPr>
        <w:ind w:right="1020" w:firstLine="3"/>
        <w:spacing w:after="0" w:line="236" w:lineRule="auto"/>
        <w:tabs>
          <w:tab w:leader="none" w:pos="361"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Certain information has been excluded from this amendment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No.3 To Third Amended And Restated Loan Sale Agreement</w:t>
      </w:r>
    </w:p>
    <w:p>
      <w:pPr>
        <w:spacing w:after="0" w:line="177" w:lineRule="exact"/>
        <w:rPr>
          <w:sz w:val="20"/>
          <w:szCs w:val="20"/>
          <w:color w:val="auto"/>
        </w:rPr>
      </w:pPr>
    </w:p>
    <w:p>
      <w:pPr>
        <w:jc w:val="both"/>
        <w:ind w:firstLine="619"/>
        <w:spacing w:after="0" w:line="261" w:lineRule="auto"/>
        <w:rPr>
          <w:sz w:val="20"/>
          <w:szCs w:val="20"/>
          <w:color w:val="auto"/>
        </w:rPr>
      </w:pPr>
      <w:r>
        <w:rPr>
          <w:rFonts w:ascii="Arial" w:cs="Arial" w:eastAsia="Arial" w:hAnsi="Arial"/>
          <w:sz w:val="18"/>
          <w:szCs w:val="18"/>
          <w:color w:val="auto"/>
        </w:rPr>
        <w:t>This Amendment No. 3 to the Third Amended and Restated Loan Sale Agreement (this “</w:t>
      </w:r>
      <w:r>
        <w:rPr>
          <w:rFonts w:ascii="Arial" w:cs="Arial" w:eastAsia="Arial" w:hAnsi="Arial"/>
          <w:sz w:val="18"/>
          <w:szCs w:val="18"/>
          <w:i w:val="1"/>
          <w:iCs w:val="1"/>
          <w:color w:val="auto"/>
        </w:rPr>
        <w:t>Amendment</w:t>
      </w:r>
      <w:r>
        <w:rPr>
          <w:rFonts w:ascii="Arial" w:cs="Arial" w:eastAsia="Arial" w:hAnsi="Arial"/>
          <w:sz w:val="18"/>
          <w:szCs w:val="18"/>
          <w:color w:val="auto"/>
        </w:rPr>
        <w:t>”) is entered into as of September 30, 2022 by and between Upstart Network, Inc., a Delaware corporation (“</w:t>
      </w:r>
      <w:r>
        <w:rPr>
          <w:rFonts w:ascii="Arial" w:cs="Arial" w:eastAsia="Arial" w:hAnsi="Arial"/>
          <w:sz w:val="18"/>
          <w:szCs w:val="18"/>
          <w:i w:val="1"/>
          <w:iCs w:val="1"/>
          <w:color w:val="auto"/>
        </w:rPr>
        <w:t>Purchaser</w:t>
      </w:r>
      <w:r>
        <w:rPr>
          <w:rFonts w:ascii="Arial" w:cs="Arial" w:eastAsia="Arial" w:hAnsi="Arial"/>
          <w:sz w:val="18"/>
          <w:szCs w:val="18"/>
          <w:color w:val="auto"/>
        </w:rPr>
        <w:t>”) and Cross River Bank, a New Jersey state-chartered bank (“</w:t>
      </w:r>
      <w:r>
        <w:rPr>
          <w:rFonts w:ascii="Arial" w:cs="Arial" w:eastAsia="Arial" w:hAnsi="Arial"/>
          <w:sz w:val="18"/>
          <w:szCs w:val="18"/>
          <w:i w:val="1"/>
          <w:iCs w:val="1"/>
          <w:color w:val="auto"/>
        </w:rPr>
        <w:t>Bank</w:t>
      </w:r>
      <w:r>
        <w:rPr>
          <w:rFonts w:ascii="Arial" w:cs="Arial" w:eastAsia="Arial" w:hAnsi="Arial"/>
          <w:sz w:val="18"/>
          <w:szCs w:val="18"/>
          <w:color w:val="auto"/>
        </w:rPr>
        <w:t>”), and amends the Third Amended and Restated Loan Sale Agreement dated as of January 1, 2019 between Bank and Purchaser (as amended, restated, supplemented or otherwise modified from time to time, the “</w:t>
      </w:r>
      <w:r>
        <w:rPr>
          <w:rFonts w:ascii="Arial" w:cs="Arial" w:eastAsia="Arial" w:hAnsi="Arial"/>
          <w:sz w:val="18"/>
          <w:szCs w:val="18"/>
          <w:i w:val="1"/>
          <w:iCs w:val="1"/>
          <w:color w:val="auto"/>
        </w:rPr>
        <w:t>Loan Sale Agreement</w:t>
      </w:r>
      <w:r>
        <w:rPr>
          <w:rFonts w:ascii="Arial" w:cs="Arial" w:eastAsia="Arial" w:hAnsi="Arial"/>
          <w:sz w:val="18"/>
          <w:szCs w:val="18"/>
          <w:color w:val="auto"/>
        </w:rPr>
        <w: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7"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Whereas, Purchaser and Bank have entered into the Loan Sale Agreement to govern the sale and purchase of loans by Purchaser from Bank; and</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Whereas, Purchaser and Bank desire to amend the Loan Sale Agreement to provide for certain modifications to the terms thereof.</w:t>
      </w:r>
    </w:p>
    <w:p>
      <w:pPr>
        <w:spacing w:after="0" w:line="150"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Now, Therefore, in consideration of the foregoing premises, and other good and valuable consideration, the receipt and legal sufficiency of which are hereby acknowledged, the parties hereby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SECTION 1.  Defined Terms.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Capitalized terms used herein and not otherwise defined herein shall have the meanings attributed to such terms in the Loan Sale Agreement.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2.  Effective Date.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parties hereto that agree that this Amendment shall be effective as of July 1, 2022.</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SECTION 3.  Amendment.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The definition of “Purchase Price” in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to the Loan Sale Agreement is hereby amended as follows: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u w:val="single" w:color="auto"/>
          <w:color w:val="auto"/>
        </w:rPr>
        <w:t>Purchase Price</w:t>
      </w:r>
      <w:r>
        <w:rPr>
          <w:rFonts w:ascii="Arial" w:cs="Arial" w:eastAsia="Arial" w:hAnsi="Arial"/>
          <w:sz w:val="21"/>
          <w:szCs w:val="21"/>
          <w:color w:val="auto"/>
        </w:rPr>
        <w:t>” means, [***].</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SECTION 4.  Effect On The Loan Sale Agreement.</w:t>
      </w:r>
    </w:p>
    <w:p>
      <w:pPr>
        <w:spacing w:after="0" w:line="171" w:lineRule="exact"/>
        <w:rPr>
          <w:sz w:val="20"/>
          <w:szCs w:val="20"/>
          <w:color w:val="auto"/>
        </w:rPr>
      </w:pPr>
    </w:p>
    <w:p>
      <w:pPr>
        <w:jc w:val="both"/>
        <w:ind w:firstLine="3"/>
        <w:spacing w:after="0" w:line="224" w:lineRule="auto"/>
        <w:tabs>
          <w:tab w:leader="none" w:pos="616" w:val="left"/>
        </w:tabs>
        <w:numPr>
          <w:ilvl w:val="0"/>
          <w:numId w:val="56"/>
        </w:numPr>
        <w:rPr>
          <w:rFonts w:ascii="Arial" w:cs="Arial" w:eastAsia="Arial" w:hAnsi="Arial"/>
          <w:sz w:val="21"/>
          <w:szCs w:val="21"/>
          <w:color w:val="auto"/>
        </w:rPr>
      </w:pPr>
      <w:r>
        <w:rPr>
          <w:rFonts w:ascii="Arial" w:cs="Arial" w:eastAsia="Arial" w:hAnsi="Arial"/>
          <w:sz w:val="21"/>
          <w:szCs w:val="21"/>
          <w:color w:val="auto"/>
        </w:rPr>
        <w:t>Upon this Amendment becoming effective, each reference to the “Agreement,” “hereunder,” “hereof,” “herein” or words of like import referring to the Loan Sale Agreement, shall mean and be a reference to the Loan Sale Agreement as modified by this Amendment.</w:t>
      </w:r>
    </w:p>
    <w:p>
      <w:pPr>
        <w:spacing w:after="0" w:line="148" w:lineRule="exact"/>
        <w:rPr>
          <w:rFonts w:ascii="Arial" w:cs="Arial" w:eastAsia="Arial" w:hAnsi="Arial"/>
          <w:sz w:val="21"/>
          <w:szCs w:val="21"/>
          <w:color w:val="auto"/>
        </w:rPr>
      </w:pPr>
    </w:p>
    <w:p>
      <w:pPr>
        <w:ind w:firstLine="3"/>
        <w:spacing w:after="0" w:line="233" w:lineRule="auto"/>
        <w:tabs>
          <w:tab w:leader="none" w:pos="614"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This Amendment is not intended to create, nor does it create and shall not be construed to create, a partnership or joint venture or any other common association for profit between Bank and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0" w:right="339" w:bottom="1440" w:gutter="0" w:footer="0" w:header="0"/>
        </w:sectPr>
      </w:pPr>
    </w:p>
    <w:bookmarkStart w:id="137" w:name="page138"/>
    <w:bookmarkEnd w:id="137"/>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SECTION 5.  Execution In Counterparts.</w:t>
      </w:r>
    </w:p>
    <w:p>
      <w:pPr>
        <w:spacing w:after="0" w:line="171"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SECTION 6.  Headings.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Section headings in this Amendment are included herein for convenience of reference only and shall not constitute a part of this Amendment for any other purposes.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7.  Entire Agreement.</w:t>
      </w:r>
    </w:p>
    <w:p>
      <w:pPr>
        <w:spacing w:after="0" w:line="171"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0"/>
          <w:szCs w:val="20"/>
          <w:color w:val="auto"/>
        </w:rPr>
        <w:t>The Loan Sale Agreement, as amended herein, is ratified, approved and confirmed in each and every respect, and constitutes the entire agreement of the parties hereto with respect to the subject matter hereof and supersedes all other understandings, oral or written, with respect to the subject matter hereof. In the event of any conflict or inconsistency between the provisions of the Loan Sale Agreement and this Amendment, the provisions of this Amendment shall control and govern.</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8.  Successors And Assigns.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This Amendment shall be binding on and shall inure to the benefit of Purchaser and Bank and their respective successors and assigns.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9.  Miscellaneous.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provisions contained in Section 18 (Governing Law; Jurisdiction) of the Loan Sale Agreement are incorporated herein by this reference and shall govern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38" w:name="page139"/>
    <w:bookmarkEnd w:id="138"/>
    <w:p>
      <w:pPr>
        <w:ind w:firstLine="619"/>
        <w:spacing w:after="0" w:line="233" w:lineRule="auto"/>
        <w:rPr>
          <w:sz w:val="20"/>
          <w:szCs w:val="20"/>
          <w:color w:val="auto"/>
        </w:rPr>
      </w:pPr>
      <w:r>
        <w:rPr>
          <w:rFonts w:ascii="Arial" w:cs="Arial" w:eastAsia="Arial" w:hAnsi="Arial"/>
          <w:sz w:val="21"/>
          <w:szCs w:val="21"/>
          <w:color w:val="auto"/>
        </w:rPr>
        <w:t>In Witness Whereof, the parties have caused this Amendment to be duly executed and delivered by its duly authorized officer as of the day and year first above written.</w:t>
      </w:r>
    </w:p>
    <w:p>
      <w:pPr>
        <w:spacing w:after="0" w:line="202"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UPSTART NETWORK, INC.</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Carrie Friesen-Meyers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-5715</wp:posOffset>
            </wp:positionV>
            <wp:extent cx="14693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Carrie Friesen-Meyers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-5715</wp:posOffset>
            </wp:positionV>
            <wp:extent cx="131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1"/>
          <w:szCs w:val="21"/>
          <w:color w:val="auto"/>
        </w:rPr>
        <w:t>Title: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-27940</wp:posOffset>
            </wp:positionV>
            <wp:extent cx="14255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CROSS RIVER BANK</w:t>
      </w:r>
    </w:p>
    <w:p>
      <w:pPr>
        <w:spacing w:after="0" w:line="36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Gilles Gade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-5715</wp:posOffset>
            </wp:positionV>
            <wp:extent cx="909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Gilles Gade</w:t>
      </w:r>
    </w:p>
    <w:p>
      <w:pPr>
        <w:ind w:left="5680"/>
        <w:spacing w:after="0"/>
        <w:rPr>
          <w:sz w:val="20"/>
          <w:szCs w:val="20"/>
          <w:color w:val="auto"/>
        </w:rPr>
      </w:pPr>
      <w:r>
        <w:rPr>
          <w:rFonts w:ascii="Arial" w:cs="Arial" w:eastAsia="Arial" w:hAnsi="Arial"/>
          <w:sz w:val="21"/>
          <w:szCs w:val="21"/>
          <w:color w:val="auto"/>
        </w:rPr>
        <w:t>Title: President and Chief Executive Officer</w:t>
      </w:r>
    </w:p>
    <w:p>
      <w:pPr>
        <w:spacing w:after="0" w:line="200" w:lineRule="exact"/>
        <w:rPr>
          <w:sz w:val="20"/>
          <w:szCs w:val="20"/>
          <w:color w:val="auto"/>
        </w:rPr>
      </w:pPr>
    </w:p>
    <w:p>
      <w:pPr>
        <w:spacing w:after="0" w:line="40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Arlen Gelbard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-5715</wp:posOffset>
            </wp:positionV>
            <wp:extent cx="1073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Arlen Gelbard</w:t>
      </w:r>
    </w:p>
    <w:p>
      <w:pPr>
        <w:ind w:left="5680"/>
        <w:spacing w:after="0"/>
        <w:rPr>
          <w:sz w:val="20"/>
          <w:szCs w:val="20"/>
          <w:color w:val="auto"/>
        </w:rPr>
      </w:pPr>
      <w:r>
        <w:rPr>
          <w:rFonts w:ascii="Arial" w:cs="Arial" w:eastAsia="Arial" w:hAnsi="Arial"/>
          <w:sz w:val="21"/>
          <w:szCs w:val="21"/>
          <w:color w:val="auto"/>
        </w:rPr>
        <w:t>Title: EVP,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Amendment No. 3</w:t>
      </w:r>
    </w:p>
    <w:p>
      <w:pPr>
        <w:jc w:val="center"/>
        <w:spacing w:after="0"/>
        <w:rPr>
          <w:sz w:val="20"/>
          <w:szCs w:val="20"/>
          <w:color w:val="auto"/>
        </w:rPr>
      </w:pPr>
      <w:r>
        <w:rPr>
          <w:rFonts w:ascii="Arial" w:cs="Arial" w:eastAsia="Arial" w:hAnsi="Arial"/>
          <w:sz w:val="21"/>
          <w:szCs w:val="21"/>
          <w:color w:val="auto"/>
        </w:rPr>
        <w:t>To Third Amended And Restated Loan Sale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3" w:right="339" w:bottom="1440" w:gutter="0" w:footer="0" w:header="0"/>
        </w:sectPr>
      </w:pPr>
    </w:p>
    <w:bookmarkStart w:id="139" w:name="page140"/>
    <w:bookmarkEnd w:id="139"/>
    <w:p>
      <w:pPr>
        <w:ind w:right="1020" w:firstLine="3"/>
        <w:spacing w:after="0" w:line="236" w:lineRule="auto"/>
        <w:tabs>
          <w:tab w:leader="none" w:pos="361"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color w:val="auto"/>
        </w:rPr>
        <w:t>Certain information has been excluded from this amendment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No.4 To Third Amended And Restated Loan Program Agreement</w:t>
      </w:r>
    </w:p>
    <w:p>
      <w:pPr>
        <w:spacing w:after="0" w:line="177" w:lineRule="exact"/>
        <w:rPr>
          <w:sz w:val="20"/>
          <w:szCs w:val="20"/>
          <w:color w:val="auto"/>
        </w:rPr>
      </w:pPr>
    </w:p>
    <w:p>
      <w:pPr>
        <w:jc w:val="both"/>
        <w:ind w:firstLine="619"/>
        <w:spacing w:after="0" w:line="219" w:lineRule="auto"/>
        <w:rPr>
          <w:sz w:val="20"/>
          <w:szCs w:val="20"/>
          <w:color w:val="auto"/>
        </w:rPr>
      </w:pPr>
      <w:r>
        <w:rPr>
          <w:rFonts w:ascii="Arial" w:cs="Arial" w:eastAsia="Arial" w:hAnsi="Arial"/>
          <w:sz w:val="21"/>
          <w:szCs w:val="21"/>
          <w:color w:val="auto"/>
        </w:rPr>
        <w:t>This Amendment No. 4 to the Third Amended and Restated Loan Program Agreement (this “</w:t>
      </w:r>
      <w:r>
        <w:rPr>
          <w:rFonts w:ascii="Arial" w:cs="Arial" w:eastAsia="Arial" w:hAnsi="Arial"/>
          <w:sz w:val="21"/>
          <w:szCs w:val="21"/>
          <w:i w:val="1"/>
          <w:iCs w:val="1"/>
          <w:color w:val="auto"/>
        </w:rPr>
        <w:t>Amendment</w:t>
      </w:r>
      <w:r>
        <w:rPr>
          <w:rFonts w:ascii="Arial" w:cs="Arial" w:eastAsia="Arial" w:hAnsi="Arial"/>
          <w:sz w:val="21"/>
          <w:szCs w:val="21"/>
          <w:color w:val="auto"/>
        </w:rPr>
        <w:t>”) is entered into as of September 30, 2022 by and between Upstart Network, Inc., a Delaware corporation (“</w:t>
      </w:r>
      <w:r>
        <w:rPr>
          <w:rFonts w:ascii="Arial" w:cs="Arial" w:eastAsia="Arial" w:hAnsi="Arial"/>
          <w:sz w:val="21"/>
          <w:szCs w:val="21"/>
          <w:i w:val="1"/>
          <w:iCs w:val="1"/>
          <w:color w:val="auto"/>
        </w:rPr>
        <w:t>UNT</w:t>
      </w:r>
      <w:r>
        <w:rPr>
          <w:rFonts w:ascii="Arial" w:cs="Arial" w:eastAsia="Arial" w:hAnsi="Arial"/>
          <w:sz w:val="21"/>
          <w:szCs w:val="21"/>
          <w:color w:val="auto"/>
        </w:rPr>
        <w:t>”) and Cross River Bank, a New Jersey state-chartered bank (“</w:t>
      </w:r>
      <w:r>
        <w:rPr>
          <w:rFonts w:ascii="Arial" w:cs="Arial" w:eastAsia="Arial" w:hAnsi="Arial"/>
          <w:sz w:val="21"/>
          <w:szCs w:val="21"/>
          <w:i w:val="1"/>
          <w:iCs w:val="1"/>
          <w:color w:val="auto"/>
        </w:rPr>
        <w:t>Bank</w:t>
      </w:r>
      <w:r>
        <w:rPr>
          <w:rFonts w:ascii="Arial" w:cs="Arial" w:eastAsia="Arial" w:hAnsi="Arial"/>
          <w:sz w:val="21"/>
          <w:szCs w:val="21"/>
          <w:color w:val="auto"/>
        </w:rPr>
        <w:t>”), and amends the Third Amended and Restated Loan Program Agreement dated as of January 1, 2019 between Bank and UNI (“</w:t>
      </w:r>
      <w:r>
        <w:rPr>
          <w:rFonts w:ascii="Arial" w:cs="Arial" w:eastAsia="Arial" w:hAnsi="Arial"/>
          <w:sz w:val="21"/>
          <w:szCs w:val="21"/>
          <w:i w:val="1"/>
          <w:iCs w:val="1"/>
          <w:color w:val="auto"/>
        </w:rPr>
        <w:t>Loan Program Agreement</w:t>
      </w:r>
      <w:r>
        <w:rPr>
          <w:rFonts w:ascii="Arial" w:cs="Arial" w:eastAsia="Arial" w:hAnsi="Arial"/>
          <w:sz w:val="21"/>
          <w:szCs w:val="21"/>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77"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Whereas, pursuant to that Loan Program Agreement, as amended, supplemented or otherwise modified from time to time prior to the date hereof (the “</w:t>
      </w:r>
      <w:r>
        <w:rPr>
          <w:rFonts w:ascii="Arial" w:cs="Arial" w:eastAsia="Arial" w:hAnsi="Arial"/>
          <w:sz w:val="21"/>
          <w:szCs w:val="21"/>
          <w:i w:val="1"/>
          <w:iCs w:val="1"/>
          <w:color w:val="auto"/>
        </w:rPr>
        <w:t>Loan Program Agreement</w:t>
      </w:r>
      <w:r>
        <w:rPr>
          <w:rFonts w:ascii="Arial" w:cs="Arial" w:eastAsia="Arial" w:hAnsi="Arial"/>
          <w:sz w:val="21"/>
          <w:szCs w:val="21"/>
          <w:color w:val="auto"/>
        </w:rPr>
        <w:t>”), Bank originates certain loans and UNI provides Bank with certain loan origination assistance services; and</w:t>
      </w:r>
    </w:p>
    <w:p>
      <w:pPr>
        <w:spacing w:after="0" w:line="149"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Now, Therefore, in consideration of the foregoing premises, and other good and valuable consideration, the receipt and legal sufficiency of which are hereby acknowledged, the parties hereby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SECTION 1.  Defined Terms.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Capitalized terms used herein and not otherwise defined herein shall have the meanings attributed to such terms in the Loan Program Agreement.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2.  Effective Date.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parties hereto agree that this Amendment shall be effective as of July 1, 2022.</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SECTION 3.  Amendments.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The four paragraphs under “Origination Assistance Fees”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of the Loan Program Agreement is amended and restated in its entirety to read as follows:</w:t>
      </w:r>
    </w:p>
    <w:p>
      <w:pPr>
        <w:spacing w:after="0" w:line="150" w:lineRule="exact"/>
        <w:rPr>
          <w:sz w:val="20"/>
          <w:szCs w:val="20"/>
          <w:color w:val="auto"/>
        </w:rPr>
      </w:pPr>
    </w:p>
    <w:p>
      <w:pPr>
        <w:ind w:right="4160" w:firstLine="619"/>
        <w:spacing w:after="0" w:line="410" w:lineRule="auto"/>
        <w:rPr>
          <w:sz w:val="20"/>
          <w:szCs w:val="20"/>
          <w:color w:val="auto"/>
        </w:rPr>
      </w:pPr>
      <w:r>
        <w:rPr>
          <w:rFonts w:ascii="Arial" w:cs="Arial" w:eastAsia="Arial" w:hAnsi="Arial"/>
          <w:sz w:val="21"/>
          <w:szCs w:val="21"/>
          <w:color w:val="auto"/>
        </w:rPr>
        <w:t>“The Loan Origination Assistance Fee shall, for each Loan, be equal to [***]” SECTION 4. Effect On The Loan Program Agreement.</w:t>
      </w:r>
    </w:p>
    <w:p>
      <w:pPr>
        <w:jc w:val="both"/>
        <w:ind w:firstLine="3"/>
        <w:spacing w:after="0" w:line="224" w:lineRule="auto"/>
        <w:tabs>
          <w:tab w:leader="none" w:pos="616" w:val="left"/>
        </w:tabs>
        <w:numPr>
          <w:ilvl w:val="0"/>
          <w:numId w:val="58"/>
        </w:numPr>
        <w:rPr>
          <w:rFonts w:ascii="Arial" w:cs="Arial" w:eastAsia="Arial" w:hAnsi="Arial"/>
          <w:sz w:val="21"/>
          <w:szCs w:val="21"/>
          <w:color w:val="auto"/>
        </w:rPr>
      </w:pPr>
      <w:r>
        <w:rPr>
          <w:rFonts w:ascii="Arial" w:cs="Arial" w:eastAsia="Arial" w:hAnsi="Arial"/>
          <w:sz w:val="21"/>
          <w:szCs w:val="21"/>
          <w:color w:val="auto"/>
        </w:rPr>
        <w:t>Upon this Amendment becoming effective, each reference to the “Agreement,” “hereunder,” “hereof,” “herein” or words of like import referring to the Loan Program Agreement, shall mean and be a reference to the Loan Program Agreement as modified by this Amendment.</w:t>
      </w:r>
    </w:p>
    <w:p>
      <w:pPr>
        <w:spacing w:after="0" w:line="148" w:lineRule="exact"/>
        <w:rPr>
          <w:rFonts w:ascii="Arial" w:cs="Arial" w:eastAsia="Arial" w:hAnsi="Arial"/>
          <w:sz w:val="21"/>
          <w:szCs w:val="21"/>
          <w:color w:val="auto"/>
        </w:rPr>
      </w:pPr>
    </w:p>
    <w:p>
      <w:pPr>
        <w:ind w:firstLine="3"/>
        <w:spacing w:after="0" w:line="233" w:lineRule="auto"/>
        <w:tabs>
          <w:tab w:leader="none" w:pos="614"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This Amendment is not intended to create, nor does it create and shall not be construed to create, a partnership or joint venture or any other common association for profit between Bank and UNI.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0" w:right="339" w:bottom="1440" w:gutter="0" w:footer="0" w:header="0"/>
        </w:sectPr>
      </w:pPr>
    </w:p>
    <w:bookmarkStart w:id="140" w:name="page141"/>
    <w:bookmarkEnd w:id="140"/>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SECTION 5.  Execution In Counterparts.</w:t>
      </w:r>
    </w:p>
    <w:p>
      <w:pPr>
        <w:spacing w:after="0" w:line="171"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This Amendment may be executed in any number of counterparts and by different parties hereto in separate counterparts, each of which when so executed shall be deemed to be an original and all of which taken together shall constitute one and the same agreement. Delivery of an executed signature page to this Amendment by facsimile transmission or otherwise transmitted or communicated by email shall be as effective as delivery of a manually executed counterpart of this Amendment.</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SECTION 6.  Headings.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Section headings in this Amendment are included herein for convenience of reference only and shall not constitute a part of this Amendment for any other purposes.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SECTION 7.  Entire Agreement.</w:t>
      </w:r>
    </w:p>
    <w:p>
      <w:pPr>
        <w:spacing w:after="0" w:line="171"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9"/>
          <w:szCs w:val="19"/>
          <w:color w:val="auto"/>
        </w:rPr>
        <w:t>The Loan Program Agreement, as amended herein, is ratified, approved and confirmed in each and every respect, and constitutes the entire agreement of the parties hereto with respect to the subject matter hereof and supersedes all other understandings, oral or written, with respect to the subject matter hereof. In the event of any conflict or inconsistency between the provisions of the Loan Program Agreement and this Amendment, the provisions of this Amendment shall control and govern.</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SECTION 8.  Successors And Assigns.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Amendment shall be binding on and shall inure to the benefit of UNI and Bank and their respective successors and assigns.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SECTION 9.  Miscellaneous.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provisions contained in Section 10.3 (Governing Law; Arbitration) of the Loan Program Agreement are incorporated herein by this reference and shall govern this Amendment.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41" w:name="page142"/>
    <w:bookmarkEnd w:id="141"/>
    <w:p>
      <w:pPr>
        <w:ind w:firstLine="619"/>
        <w:spacing w:after="0" w:line="233" w:lineRule="auto"/>
        <w:rPr>
          <w:sz w:val="20"/>
          <w:szCs w:val="20"/>
          <w:color w:val="auto"/>
        </w:rPr>
      </w:pPr>
      <w:r>
        <w:rPr>
          <w:rFonts w:ascii="Arial" w:cs="Arial" w:eastAsia="Arial" w:hAnsi="Arial"/>
          <w:sz w:val="21"/>
          <w:szCs w:val="21"/>
          <w:color w:val="auto"/>
        </w:rPr>
        <w:t>In Witness Whereof, the parties have caused this Amendment to be duly executed and delivered by its duly authorized officer as of the day and year first above written.</w:t>
      </w:r>
    </w:p>
    <w:p>
      <w:pPr>
        <w:spacing w:after="0" w:line="202"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UPSTART NETWORK, INC.</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Carrie Friesen-Meyers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-5715</wp:posOffset>
            </wp:positionV>
            <wp:extent cx="14693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Carrie Friesen-Meyers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-5715</wp:posOffset>
            </wp:positionV>
            <wp:extent cx="131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21"/>
          <w:szCs w:val="21"/>
          <w:color w:val="auto"/>
        </w:rPr>
        <w:t>Title: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-27940</wp:posOffset>
            </wp:positionV>
            <wp:extent cx="14255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2557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CROSS RIVER BANK</w:t>
      </w:r>
    </w:p>
    <w:p>
      <w:pPr>
        <w:spacing w:after="0" w:line="36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Gilles Gade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-5715</wp:posOffset>
            </wp:positionV>
            <wp:extent cx="909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Gilles Gade</w:t>
      </w:r>
    </w:p>
    <w:p>
      <w:pPr>
        <w:ind w:left="5680"/>
        <w:spacing w:after="0"/>
        <w:rPr>
          <w:sz w:val="20"/>
          <w:szCs w:val="20"/>
          <w:color w:val="auto"/>
        </w:rPr>
      </w:pPr>
      <w:r>
        <w:rPr>
          <w:rFonts w:ascii="Arial" w:cs="Arial" w:eastAsia="Arial" w:hAnsi="Arial"/>
          <w:sz w:val="21"/>
          <w:szCs w:val="21"/>
          <w:color w:val="auto"/>
        </w:rPr>
        <w:t>Title: President and Chief Executive Officer</w:t>
      </w:r>
    </w:p>
    <w:p>
      <w:pPr>
        <w:spacing w:after="0" w:line="200" w:lineRule="exact"/>
        <w:rPr>
          <w:sz w:val="20"/>
          <w:szCs w:val="20"/>
          <w:color w:val="auto"/>
        </w:rPr>
      </w:pPr>
    </w:p>
    <w:p>
      <w:pPr>
        <w:spacing w:after="0" w:line="400"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By: /s/ Arlen Gelbard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-5715</wp:posOffset>
            </wp:positionV>
            <wp:extent cx="1073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ind w:left="5680"/>
        <w:spacing w:after="0" w:line="205" w:lineRule="auto"/>
        <w:rPr>
          <w:sz w:val="20"/>
          <w:szCs w:val="20"/>
          <w:color w:val="auto"/>
        </w:rPr>
      </w:pPr>
      <w:r>
        <w:rPr>
          <w:rFonts w:ascii="Arial" w:cs="Arial" w:eastAsia="Arial" w:hAnsi="Arial"/>
          <w:sz w:val="21"/>
          <w:szCs w:val="21"/>
          <w:color w:val="auto"/>
        </w:rPr>
        <w:t>Name: Arlen Gelbard</w:t>
      </w:r>
    </w:p>
    <w:p>
      <w:pPr>
        <w:ind w:left="5680"/>
        <w:spacing w:after="0"/>
        <w:rPr>
          <w:sz w:val="20"/>
          <w:szCs w:val="20"/>
          <w:color w:val="auto"/>
        </w:rPr>
      </w:pPr>
      <w:r>
        <w:rPr>
          <w:rFonts w:ascii="Arial" w:cs="Arial" w:eastAsia="Arial" w:hAnsi="Arial"/>
          <w:sz w:val="21"/>
          <w:szCs w:val="21"/>
          <w:color w:val="auto"/>
        </w:rPr>
        <w:t>Title: EVP,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Amendment No. 4 To Third Amended And Restated Loan</w:t>
      </w:r>
    </w:p>
    <w:p>
      <w:pPr>
        <w:jc w:val="center"/>
        <w:spacing w:after="0"/>
        <w:rPr>
          <w:sz w:val="20"/>
          <w:szCs w:val="20"/>
          <w:color w:val="auto"/>
        </w:rPr>
      </w:pPr>
      <w:r>
        <w:rPr>
          <w:rFonts w:ascii="Arial" w:cs="Arial" w:eastAsia="Arial" w:hAnsi="Arial"/>
          <w:sz w:val="21"/>
          <w:szCs w:val="21"/>
          <w:color w:val="auto"/>
        </w:rPr>
        <w:t>Program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9"/>
          <w:szCs w:val="19"/>
          <w:b w:val="1"/>
          <w:bCs w:val="1"/>
          <w:color w:val="auto"/>
        </w:rPr>
        <w:t>Exhibit 10.4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Upstart-CRB Small Business Loan Program</w:t>
      </w:r>
    </w:p>
    <w:p>
      <w:pPr>
        <w:jc w:val="center"/>
        <w:spacing w:after="0"/>
        <w:rPr>
          <w:sz w:val="20"/>
          <w:szCs w:val="20"/>
          <w:color w:val="auto"/>
        </w:rPr>
      </w:pPr>
      <w:r>
        <w:rPr>
          <w:rFonts w:ascii="Arial" w:cs="Arial" w:eastAsia="Arial" w:hAnsi="Arial"/>
          <w:sz w:val="17"/>
          <w:szCs w:val="17"/>
          <w:b w:val="1"/>
          <w:bCs w:val="1"/>
          <w:color w:val="auto"/>
        </w:rPr>
        <w:t>Program Agreement Addendum</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This Small Business Loan Program Agreement Addendum (the “</w:t>
      </w:r>
      <w:r>
        <w:rPr>
          <w:rFonts w:ascii="Arial" w:cs="Arial" w:eastAsia="Arial" w:hAnsi="Arial"/>
          <w:sz w:val="17"/>
          <w:szCs w:val="17"/>
          <w:b w:val="1"/>
          <w:bCs w:val="1"/>
          <w:color w:val="auto"/>
        </w:rPr>
        <w:t>Addendum</w:t>
      </w:r>
      <w:r>
        <w:rPr>
          <w:rFonts w:ascii="Arial" w:cs="Arial" w:eastAsia="Arial" w:hAnsi="Arial"/>
          <w:sz w:val="17"/>
          <w:szCs w:val="17"/>
          <w:color w:val="auto"/>
        </w:rPr>
        <w:t>”) is entered into as of June 28, 2022 (“</w:t>
      </w:r>
      <w:r>
        <w:rPr>
          <w:rFonts w:ascii="Arial" w:cs="Arial" w:eastAsia="Arial" w:hAnsi="Arial"/>
          <w:sz w:val="17"/>
          <w:szCs w:val="17"/>
          <w:b w:val="1"/>
          <w:bCs w:val="1"/>
          <w:color w:val="auto"/>
        </w:rPr>
        <w:t>Addendum Effective Date</w:t>
      </w:r>
      <w:r>
        <w:rPr>
          <w:rFonts w:ascii="Arial" w:cs="Arial" w:eastAsia="Arial" w:hAnsi="Arial"/>
          <w:sz w:val="17"/>
          <w:szCs w:val="17"/>
          <w:color w:val="auto"/>
        </w:rPr>
        <w:t>”) and is attached to and made a part of the Third Amended and Restated Loan Program Agreement between Cross River Bank (“</w:t>
      </w:r>
      <w:r>
        <w:rPr>
          <w:rFonts w:ascii="Arial" w:cs="Arial" w:eastAsia="Arial" w:hAnsi="Arial"/>
          <w:sz w:val="17"/>
          <w:szCs w:val="17"/>
          <w:b w:val="1"/>
          <w:bCs w:val="1"/>
          <w:color w:val="auto"/>
        </w:rPr>
        <w:t>CRB</w:t>
      </w:r>
      <w:r>
        <w:rPr>
          <w:rFonts w:ascii="Arial" w:cs="Arial" w:eastAsia="Arial" w:hAnsi="Arial"/>
          <w:sz w:val="17"/>
          <w:szCs w:val="17"/>
          <w:color w:val="auto"/>
        </w:rPr>
        <w:t>”) and Upstart Network, Inc. (“</w:t>
      </w:r>
      <w:r>
        <w:rPr>
          <w:rFonts w:ascii="Arial" w:cs="Arial" w:eastAsia="Arial" w:hAnsi="Arial"/>
          <w:sz w:val="17"/>
          <w:szCs w:val="17"/>
          <w:b w:val="1"/>
          <w:bCs w:val="1"/>
          <w:color w:val="auto"/>
        </w:rPr>
        <w:t>UNI</w:t>
      </w:r>
      <w:r>
        <w:rPr>
          <w:rFonts w:ascii="Arial" w:cs="Arial" w:eastAsia="Arial" w:hAnsi="Arial"/>
          <w:sz w:val="17"/>
          <w:szCs w:val="17"/>
          <w:color w:val="auto"/>
        </w:rPr>
        <w:t>”) dated January 1, 2019 (as amended, supplemented or otherwise modified, the “</w:t>
      </w:r>
      <w:r>
        <w:rPr>
          <w:rFonts w:ascii="Arial" w:cs="Arial" w:eastAsia="Arial" w:hAnsi="Arial"/>
          <w:sz w:val="17"/>
          <w:szCs w:val="17"/>
          <w:b w:val="1"/>
          <w:bCs w:val="1"/>
          <w:color w:val="auto"/>
        </w:rPr>
        <w:t>Program Agreement</w:t>
      </w:r>
      <w:r>
        <w:rPr>
          <w:rFonts w:ascii="Arial" w:cs="Arial" w:eastAsia="Arial" w:hAnsi="Arial"/>
          <w:sz w:val="17"/>
          <w:szCs w:val="17"/>
          <w:color w:val="auto"/>
        </w:rPr>
        <w:t>”).</w:t>
      </w:r>
    </w:p>
    <w:p>
      <w:pPr>
        <w:spacing w:after="0" w:line="162"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under the Program (as defined in the Program Agreement), CRB originates unsecured personal loans and secured auto loans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UNI Platform, and UNI provides origination assistance services in connection with such loan originations all pursuant to the terms and conditions set forth in the Program Agreement;</w:t>
      </w:r>
    </w:p>
    <w:p>
      <w:pPr>
        <w:spacing w:after="0" w:line="162"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expand the Program to include CRB’s origination of secured and unsecured small business loans used for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purposes (each, a “</w:t>
      </w:r>
      <w:r>
        <w:rPr>
          <w:rFonts w:ascii="Arial" w:cs="Arial" w:eastAsia="Arial" w:hAnsi="Arial"/>
          <w:sz w:val="17"/>
          <w:szCs w:val="17"/>
          <w:b w:val="1"/>
          <w:bCs w:val="1"/>
          <w:color w:val="auto"/>
        </w:rPr>
        <w:t>Small Business Loan</w:t>
      </w:r>
      <w:r>
        <w:rPr>
          <w:rFonts w:ascii="Arial" w:cs="Arial" w:eastAsia="Arial" w:hAnsi="Arial"/>
          <w:sz w:val="17"/>
          <w:szCs w:val="17"/>
          <w:color w:val="auto"/>
        </w:rPr>
        <w:t>”) on the UNI Platform and UNI’s provision of origination assistance services in connection with such Small Business Loan originations (“</w:t>
      </w:r>
      <w:r>
        <w:rPr>
          <w:rFonts w:ascii="Arial" w:cs="Arial" w:eastAsia="Arial" w:hAnsi="Arial"/>
          <w:sz w:val="17"/>
          <w:szCs w:val="17"/>
          <w:b w:val="1"/>
          <w:bCs w:val="1"/>
          <w:color w:val="auto"/>
        </w:rPr>
        <w:t>Small Business Loan Program</w:t>
      </w:r>
      <w:r>
        <w:rPr>
          <w:rFonts w:ascii="Arial" w:cs="Arial" w:eastAsia="Arial" w:hAnsi="Arial"/>
          <w:sz w:val="17"/>
          <w:szCs w:val="17"/>
          <w:color w:val="auto"/>
        </w:rPr>
        <w:t>”); and</w:t>
      </w:r>
    </w:p>
    <w:p>
      <w:pPr>
        <w:spacing w:after="0" w:line="162"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supplement the Program Agreement with additional terms and conditions related to the Small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Loan Program.</w:t>
      </w:r>
    </w:p>
    <w:p>
      <w:pPr>
        <w:spacing w:after="0" w:line="14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promises exchanged herein, the receipt and sufficiency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acknowledged as adequate consideration, the parties agree as follows:</w:t>
      </w:r>
    </w:p>
    <w:p>
      <w:pPr>
        <w:spacing w:after="0" w:line="134" w:lineRule="exact"/>
        <w:rPr>
          <w:sz w:val="20"/>
          <w:szCs w:val="20"/>
          <w:color w:val="auto"/>
        </w:rPr>
      </w:pPr>
    </w:p>
    <w:p>
      <w:pPr>
        <w:ind w:left="1240" w:hanging="618"/>
        <w:spacing w:after="0" w:line="242" w:lineRule="auto"/>
        <w:tabs>
          <w:tab w:leader="none" w:pos="1231"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in this Addendum but not defined herein will have the same meaning as in the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60" w:lineRule="exact"/>
        <w:rPr>
          <w:rFonts w:ascii="Arial" w:cs="Arial" w:eastAsia="Arial" w:hAnsi="Arial"/>
          <w:sz w:val="17"/>
          <w:szCs w:val="17"/>
          <w:b w:val="1"/>
          <w:bCs w:val="1"/>
          <w:color w:val="auto"/>
        </w:rPr>
      </w:pPr>
    </w:p>
    <w:p>
      <w:pPr>
        <w:ind w:left="1240" w:hanging="618"/>
        <w:spacing w:after="0"/>
        <w:tabs>
          <w:tab w:leader="none" w:pos="12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Small Business Loan Program</w:t>
      </w:r>
      <w:r>
        <w:rPr>
          <w:rFonts w:ascii="Arial" w:cs="Arial" w:eastAsia="Arial" w:hAnsi="Arial"/>
          <w:sz w:val="17"/>
          <w:szCs w:val="17"/>
          <w:color w:val="auto"/>
        </w:rPr>
        <w:t>. The parties agree as follows:</w:t>
      </w:r>
    </w:p>
    <w:p>
      <w:pPr>
        <w:spacing w:after="0" w:line="198" w:lineRule="exact"/>
        <w:rPr>
          <w:rFonts w:ascii="Arial" w:cs="Arial" w:eastAsia="Arial" w:hAnsi="Arial"/>
          <w:sz w:val="17"/>
          <w:szCs w:val="17"/>
          <w:b w:val="1"/>
          <w:bCs w:val="1"/>
          <w:color w:val="auto"/>
        </w:rPr>
      </w:pPr>
    </w:p>
    <w:p>
      <w:pPr>
        <w:ind w:left="1860" w:hanging="619"/>
        <w:spacing w:after="0" w:line="229" w:lineRule="auto"/>
        <w:tabs>
          <w:tab w:leader="none" w:pos="1848" w:val="left"/>
        </w:tabs>
        <w:numPr>
          <w:ilvl w:val="1"/>
          <w:numId w:val="59"/>
        </w:numPr>
        <w:rPr>
          <w:rFonts w:ascii="Arial" w:cs="Arial" w:eastAsia="Arial" w:hAnsi="Arial"/>
          <w:sz w:val="17"/>
          <w:szCs w:val="17"/>
          <w:color w:val="auto"/>
        </w:rPr>
      </w:pPr>
      <w:r>
        <w:rPr>
          <w:rFonts w:ascii="Arial" w:cs="Arial" w:eastAsia="Arial" w:hAnsi="Arial"/>
          <w:sz w:val="17"/>
          <w:szCs w:val="17"/>
          <w:color w:val="auto"/>
        </w:rPr>
        <w:t>Solely for purposes of the Small Business Loan Program, the definition of “Loan” in the Program Agreement is hereby deleted in its entirety and replaced with the following:</w:t>
      </w:r>
    </w:p>
    <w:p>
      <w:pPr>
        <w:spacing w:after="0" w:line="181" w:lineRule="exact"/>
        <w:rPr>
          <w:rFonts w:ascii="Arial" w:cs="Arial" w:eastAsia="Arial" w:hAnsi="Arial"/>
          <w:sz w:val="17"/>
          <w:szCs w:val="17"/>
          <w:color w:val="auto"/>
        </w:rPr>
      </w:pPr>
    </w:p>
    <w:p>
      <w:pPr>
        <w:ind w:left="18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means a consumer loan or a small business loan made by Bank to a Borrower under the Program.</w:t>
      </w:r>
    </w:p>
    <w:p>
      <w:pPr>
        <w:spacing w:after="0" w:line="178" w:lineRule="exact"/>
        <w:rPr>
          <w:rFonts w:ascii="Arial" w:cs="Arial" w:eastAsia="Arial" w:hAnsi="Arial"/>
          <w:sz w:val="17"/>
          <w:szCs w:val="17"/>
          <w:color w:val="auto"/>
        </w:rPr>
      </w:pPr>
    </w:p>
    <w:p>
      <w:pPr>
        <w:jc w:val="both"/>
        <w:ind w:left="1860"/>
        <w:spacing w:after="0" w:line="226" w:lineRule="auto"/>
        <w:rPr>
          <w:rFonts w:ascii="Arial" w:cs="Arial" w:eastAsia="Arial" w:hAnsi="Arial"/>
          <w:sz w:val="17"/>
          <w:szCs w:val="17"/>
          <w:color w:val="auto"/>
        </w:rPr>
      </w:pPr>
      <w:r>
        <w:rPr>
          <w:rFonts w:ascii="Arial" w:cs="Arial" w:eastAsia="Arial" w:hAnsi="Arial"/>
          <w:sz w:val="17"/>
          <w:szCs w:val="17"/>
          <w:color w:val="auto"/>
        </w:rPr>
        <w:t>The parties agree that all other terms and provisions (including, without limitation, all definitions) in the Program Agreement are hereby deemed modified as necessary to expand the Program to apply to commercial loans, in addition to consumer loans.</w:t>
      </w:r>
    </w:p>
    <w:p>
      <w:pPr>
        <w:spacing w:after="0" w:line="169" w:lineRule="exact"/>
        <w:rPr>
          <w:rFonts w:ascii="Arial" w:cs="Arial" w:eastAsia="Arial" w:hAnsi="Arial"/>
          <w:sz w:val="17"/>
          <w:szCs w:val="17"/>
          <w:color w:val="auto"/>
        </w:rPr>
      </w:pPr>
    </w:p>
    <w:p>
      <w:pPr>
        <w:jc w:val="both"/>
        <w:ind w:left="1860" w:hanging="619"/>
        <w:spacing w:after="0" w:line="215" w:lineRule="auto"/>
        <w:tabs>
          <w:tab w:leader="none" w:pos="1848"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parties acknowledge and agree that many of the various consumer protection laws applicable to consumer loans do not apply to the small business loans and UNI will limit its origination assistance and servicing responsibilities under the Small Business Loan Program to apply only to the extent legally required for small business loans. For the avoidance of doubt, (i) Section 10.5 of the Program Agreement will apply to the Small Business Loan Program only to the extent required by Applicable Laws (as applicable to the Small Business Loan Program or to a party (or its performance) or to any Third Party Service Provider in respect of the Small Business Loan Program) and (ii) all liabilities and indemnification obligations of each party related to compliance with Applicable Laws in connection with the Small Business Loan Program are hereby deemed to apply only to the extent such compliance is required in connection with commercial loans.</w:t>
      </w:r>
    </w:p>
    <w:p>
      <w:pPr>
        <w:spacing w:after="0" w:line="171" w:lineRule="exact"/>
        <w:rPr>
          <w:rFonts w:ascii="Arial" w:cs="Arial" w:eastAsia="Arial" w:hAnsi="Arial"/>
          <w:sz w:val="17"/>
          <w:szCs w:val="17"/>
          <w:color w:val="auto"/>
        </w:rPr>
      </w:pPr>
    </w:p>
    <w:p>
      <w:pPr>
        <w:ind w:left="1860" w:hanging="619"/>
        <w:spacing w:after="0" w:line="236" w:lineRule="auto"/>
        <w:tabs>
          <w:tab w:leader="none" w:pos="1852"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term “Small Business Loan Applicant” shall mean a Loan Applicant with respect to a Loan that is a small business loan. For the avoidance of doubt, only businesses are eligible for Loans under the Small Business Loan Program,</w:t>
      </w:r>
    </w:p>
    <w:p>
      <w:pPr>
        <w:sectPr>
          <w:pgSz w:w="11900" w:h="16838" w:orient="portrait"/>
          <w:cols w:equalWidth="0" w:num="1">
            <w:col w:w="11240"/>
          </w:cols>
          <w:pgMar w:left="320" w:top="1341" w:right="339" w:bottom="1440" w:gutter="0" w:footer="0" w:header="0"/>
        </w:sectPr>
      </w:pPr>
    </w:p>
    <w:bookmarkStart w:id="143" w:name="page144"/>
    <w:bookmarkEnd w:id="143"/>
    <w:p>
      <w:pPr>
        <w:ind w:left="1238"/>
        <w:spacing w:after="0"/>
        <w:rPr>
          <w:sz w:val="20"/>
          <w:szCs w:val="20"/>
          <w:color w:val="auto"/>
        </w:rPr>
      </w:pPr>
      <w:r>
        <w:rPr>
          <w:rFonts w:ascii="Arial" w:cs="Arial" w:eastAsia="Arial" w:hAnsi="Arial"/>
          <w:sz w:val="17"/>
          <w:szCs w:val="17"/>
          <w:color w:val="auto"/>
        </w:rPr>
        <w:t>including natural persons that are sole proprietorships who intend to use the Loan for business purposes.</w:t>
      </w:r>
    </w:p>
    <w:p>
      <w:pPr>
        <w:spacing w:after="0" w:line="178" w:lineRule="exact"/>
        <w:rPr>
          <w:sz w:val="20"/>
          <w:szCs w:val="20"/>
          <w:color w:val="auto"/>
        </w:rPr>
      </w:pPr>
    </w:p>
    <w:p>
      <w:pPr>
        <w:ind w:left="1218" w:hanging="599"/>
        <w:spacing w:after="0"/>
        <w:tabs>
          <w:tab w:leader="none" w:pos="1218"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term “Small Business Borrower” shall mean a Borrower with respect to a Loan that is a commercial loan.</w:t>
      </w:r>
    </w:p>
    <w:p>
      <w:pPr>
        <w:spacing w:after="0" w:line="191" w:lineRule="exact"/>
        <w:rPr>
          <w:rFonts w:ascii="Arial" w:cs="Arial" w:eastAsia="Arial" w:hAnsi="Arial"/>
          <w:sz w:val="17"/>
          <w:szCs w:val="17"/>
          <w:color w:val="auto"/>
        </w:rPr>
      </w:pPr>
    </w:p>
    <w:p>
      <w:pPr>
        <w:jc w:val="both"/>
        <w:ind w:left="1238" w:hanging="619"/>
        <w:spacing w:after="0" w:line="221" w:lineRule="auto"/>
        <w:tabs>
          <w:tab w:leader="none" w:pos="1226" w:val="left"/>
        </w:tabs>
        <w:numPr>
          <w:ilvl w:val="1"/>
          <w:numId w:val="60"/>
        </w:numPr>
        <w:rPr>
          <w:rFonts w:ascii="Arial" w:cs="Arial" w:eastAsia="Arial" w:hAnsi="Arial"/>
          <w:sz w:val="17"/>
          <w:szCs w:val="17"/>
          <w:color w:val="auto"/>
        </w:rPr>
      </w:pPr>
      <w:r>
        <w:rPr>
          <w:rFonts w:ascii="Arial" w:cs="Arial" w:eastAsia="Arial" w:hAnsi="Arial"/>
          <w:sz w:val="17"/>
          <w:szCs w:val="17"/>
          <w:color w:val="auto"/>
        </w:rPr>
        <w:t>Each Small Business Loan is a Loan under the Program Agreement (and for all purposes under the Program) and the Small Business Loan Program shall be deemed part of the Program for all purposes under the Program Agreement. Except as otherwise set forth in this Addendum, the terms and conditions of the Program Agreement that apply to the Program and the Loans shall apply to the Small Business Loan Program and Small Business Loans thereunder.</w:t>
      </w:r>
    </w:p>
    <w:p>
      <w:pPr>
        <w:spacing w:after="0" w:line="169" w:lineRule="exact"/>
        <w:rPr>
          <w:rFonts w:ascii="Arial" w:cs="Arial" w:eastAsia="Arial" w:hAnsi="Arial"/>
          <w:sz w:val="17"/>
          <w:szCs w:val="17"/>
          <w:color w:val="auto"/>
        </w:rPr>
      </w:pPr>
    </w:p>
    <w:p>
      <w:pPr>
        <w:jc w:val="both"/>
        <w:ind w:left="1238" w:hanging="619"/>
        <w:spacing w:after="0" w:line="215" w:lineRule="auto"/>
        <w:tabs>
          <w:tab w:leader="none" w:pos="123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Program Guidelines, including the Credit Policy, Underwriting Procedures, Program Terms shall be updated to include the specifications associated with Small Business Loans to be originated under the Small Business Loan Program, as such may be updated from time to time in accordance with Section 2.3 of the Agreement. UNI shall comply with the Program Terms and the Program Guidelines in connection with the administration of the Small Business Loan Program. For the avoidance of doubt, all references in the Program Agreement to the Compliance Guidelines and/or Exhibit C, and all of the requirements of Exhibit C, shall be applicable to the Small Business Loan Program and the relevant party or parties only to the extent required by Applicable Laws (as applicable to the Small Business Loan Program or such party or its performance of its obligations under the Program Agreement).</w:t>
      </w:r>
    </w:p>
    <w:p>
      <w:pPr>
        <w:spacing w:after="0" w:line="184" w:lineRule="exact"/>
        <w:rPr>
          <w:rFonts w:ascii="Arial" w:cs="Arial" w:eastAsia="Arial" w:hAnsi="Arial"/>
          <w:sz w:val="17"/>
          <w:szCs w:val="17"/>
          <w:color w:val="auto"/>
        </w:rPr>
      </w:pPr>
    </w:p>
    <w:p>
      <w:pPr>
        <w:jc w:val="both"/>
        <w:ind w:left="1238" w:hanging="619"/>
        <w:spacing w:after="0" w:line="216" w:lineRule="auto"/>
        <w:tabs>
          <w:tab w:leader="none" w:pos="1226"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the extent required by Bank, UNI shall cause such Small Business Loan to be secured by a valid, legal, perfected, enforceable first-priority lien on certain assets of the Small Business Borrower (if any) as specified by Bank (any such assets, the “Small Business Collateral”). To the extent required by Bank, UNI shall take all such actions and deliver and cause to be duly filed any and all instruments and documents, including, without limitation, UCC financing statements, necessary to assure, obtain, preserve, protect and perfect Bank’s security interest (if any) in the Small Business Collateral and the related rights and remedies with respect thereto.</w:t>
      </w:r>
    </w:p>
    <w:p>
      <w:pPr>
        <w:spacing w:after="0" w:line="182" w:lineRule="exact"/>
        <w:rPr>
          <w:rFonts w:ascii="Arial" w:cs="Arial" w:eastAsia="Arial" w:hAnsi="Arial"/>
          <w:sz w:val="17"/>
          <w:szCs w:val="17"/>
          <w:color w:val="auto"/>
        </w:rPr>
      </w:pPr>
    </w:p>
    <w:p>
      <w:pPr>
        <w:jc w:val="both"/>
        <w:ind w:left="1238" w:hanging="619"/>
        <w:spacing w:after="0" w:line="215" w:lineRule="auto"/>
        <w:tabs>
          <w:tab w:leader="none" w:pos="1226"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UNI shall cause the Loan Documents for each Small Business Loan to include each of the following, as part of the origination and servicing file for such Small Business Loan or otherwise: (i) the application of the obligor for credit; (ii) a copy of the Small Business Loan agreement and any amendments thereto; (iii) a copy (but not the original) of any UCC financing statement (if any) naming Bank as secured party with respect to any security interest in the assets of the Small Business Borrower; (iv) any disclosures that are required by applicable law to be made to the Small Business Loan Applicant and/or Small Business Borrower; (v) the guarantee (if any) by the guarantor or guarantors of the obligations of such Small Business Borrower under the Small Business Loan agreement; and (vi) such other documents as Bank additionally maintains in connection with the origination and servicing of any Small Business Loan.</w:t>
      </w:r>
    </w:p>
    <w:p>
      <w:pPr>
        <w:spacing w:after="0" w:line="171" w:lineRule="exact"/>
        <w:rPr>
          <w:rFonts w:ascii="Arial" w:cs="Arial" w:eastAsia="Arial" w:hAnsi="Arial"/>
          <w:sz w:val="17"/>
          <w:szCs w:val="17"/>
          <w:color w:val="auto"/>
        </w:rPr>
      </w:pPr>
    </w:p>
    <w:p>
      <w:pPr>
        <w:jc w:val="both"/>
        <w:ind w:left="1238" w:hanging="619"/>
        <w:spacing w:after="0" w:line="226" w:lineRule="auto"/>
        <w:tabs>
          <w:tab w:leader="none" w:pos="1234"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the extent that state or federal law requires the collection of demographic or other Small Business Borrower data as it relates to the origination of Small Business Loans, UNI will collect such data on behalf of Bank, including, without limitation, to the extent required under the Equal Credit Opportunities Act, as amended, and the Bank Secrecy Act, as amended.</w:t>
      </w:r>
    </w:p>
    <w:p>
      <w:pPr>
        <w:spacing w:after="0" w:line="169" w:lineRule="exact"/>
        <w:rPr>
          <w:rFonts w:ascii="Arial" w:cs="Arial" w:eastAsia="Arial" w:hAnsi="Arial"/>
          <w:sz w:val="17"/>
          <w:szCs w:val="17"/>
          <w:color w:val="auto"/>
        </w:rPr>
      </w:pPr>
    </w:p>
    <w:p>
      <w:pPr>
        <w:ind w:left="1238" w:hanging="619"/>
        <w:spacing w:after="0" w:line="236" w:lineRule="auto"/>
        <w:tabs>
          <w:tab w:leader="none" w:pos="1234"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UNI will use reasonable efforts to confirm that any bank account used by a Small Business Borrower in connection with a Small Business Loan is a business account, and is not used for personal, family or household purposes.</w:t>
      </w:r>
    </w:p>
    <w:p>
      <w:pPr>
        <w:spacing w:after="0" w:line="149" w:lineRule="exact"/>
        <w:rPr>
          <w:rFonts w:ascii="Arial" w:cs="Arial" w:eastAsia="Arial" w:hAnsi="Arial"/>
          <w:sz w:val="17"/>
          <w:szCs w:val="17"/>
          <w:color w:val="auto"/>
        </w:rPr>
      </w:pPr>
    </w:p>
    <w:p>
      <w:pPr>
        <w:jc w:val="both"/>
        <w:ind w:left="618" w:hanging="618"/>
        <w:spacing w:after="0" w:line="229" w:lineRule="auto"/>
        <w:tabs>
          <w:tab w:leader="none" w:pos="60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The terms and conditions of the Program Agreement in effect between the parties shall continue to be in full force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effect and apply to this Addendum; </w:t>
      </w:r>
      <w:r>
        <w:rPr>
          <w:rFonts w:ascii="Arial" w:cs="Arial" w:eastAsia="Arial" w:hAnsi="Arial"/>
          <w:sz w:val="17"/>
          <w:szCs w:val="17"/>
          <w:i w:val="1"/>
          <w:iCs w:val="1"/>
          <w:color w:val="auto"/>
        </w:rPr>
        <w:t>provided however</w:t>
      </w:r>
      <w:r>
        <w:rPr>
          <w:rFonts w:ascii="Arial" w:cs="Arial" w:eastAsia="Arial" w:hAnsi="Arial"/>
          <w:sz w:val="17"/>
          <w:szCs w:val="17"/>
          <w:color w:val="auto"/>
        </w:rPr>
        <w:t>, that solely with respect to the subject matter of this Addendum, in the event of a conflict between the terms of the Program Agreement and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51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18"/>
          </w:cols>
          <w:pgMar w:left="942" w:top="1363" w:right="339" w:bottom="1440" w:gutter="0" w:footer="0" w:header="0"/>
        </w:sectPr>
      </w:pPr>
    </w:p>
    <w:bookmarkStart w:id="144" w:name="page145"/>
    <w:bookmarkEnd w:id="144"/>
    <w:p>
      <w:pPr>
        <w:ind w:left="120"/>
        <w:spacing w:after="0" w:line="229" w:lineRule="auto"/>
        <w:rPr>
          <w:sz w:val="20"/>
          <w:szCs w:val="20"/>
          <w:color w:val="auto"/>
        </w:rPr>
      </w:pPr>
      <w:r>
        <w:rPr>
          <w:rFonts w:ascii="Arial" w:cs="Arial" w:eastAsia="Arial" w:hAnsi="Arial"/>
          <w:sz w:val="17"/>
          <w:szCs w:val="17"/>
          <w:color w:val="auto"/>
        </w:rPr>
        <w:t>Addendum, the terms of this Addendum shall control. This Addendum may not be altered, amended, or modified except by written instrument, signed by the duly authorized representatives of all parties.</w:t>
      </w:r>
    </w:p>
    <w:p>
      <w:pPr>
        <w:spacing w:after="0" w:line="163" w:lineRule="exact"/>
        <w:rPr>
          <w:sz w:val="20"/>
          <w:szCs w:val="20"/>
          <w:color w:val="auto"/>
        </w:rPr>
      </w:pPr>
    </w:p>
    <w:p>
      <w:pPr>
        <w:ind w:left="3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120"/>
          </w:cols>
          <w:pgMar w:left="1440" w:top="1363" w:right="339" w:bottom="1440" w:gutter="0" w:footer="0" w:header="0"/>
        </w:sectPr>
      </w:pPr>
    </w:p>
    <w:bookmarkStart w:id="145" w:name="page146"/>
    <w:bookmarkEnd w:id="145"/>
    <w:p>
      <w:pPr>
        <w:spacing w:after="0" w:line="24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intending to be legally bound, have caused this Addendum to be executed by their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as of the Addendum Effective Date.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CROSS RIVER BANK</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Gilles Gade</w:t>
      </w:r>
    </w:p>
    <w:p>
      <w:pPr>
        <w:ind w:left="20"/>
        <w:spacing w:after="0" w:line="221" w:lineRule="auto"/>
        <w:rPr>
          <w:sz w:val="20"/>
          <w:szCs w:val="20"/>
          <w:color w:val="auto"/>
        </w:rPr>
      </w:pPr>
      <w:r>
        <w:rPr>
          <w:rFonts w:ascii="Arial" w:cs="Arial" w:eastAsia="Arial" w:hAnsi="Arial"/>
          <w:sz w:val="17"/>
          <w:szCs w:val="17"/>
          <w:color w:val="auto"/>
        </w:rPr>
        <w:t>Name: Gilles Gade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-113030</wp:posOffset>
            </wp:positionV>
            <wp:extent cx="8369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6"/>
        </w:trPr>
        <w:tc>
          <w:tcPr>
            <w:tcW w:w="5620" w:type="dxa"/>
            <w:vAlign w:val="bottom"/>
            <w:gridSpan w:val="2"/>
          </w:tcPr>
          <w:p>
            <w:pPr>
              <w:spacing w:after="0"/>
              <w:rPr>
                <w:sz w:val="20"/>
                <w:szCs w:val="20"/>
                <w:color w:val="auto"/>
              </w:rPr>
            </w:pPr>
            <w:r>
              <w:rPr>
                <w:rFonts w:ascii="Arial" w:cs="Arial" w:eastAsia="Arial" w:hAnsi="Arial"/>
                <w:sz w:val="17"/>
                <w:szCs w:val="17"/>
                <w:color w:val="auto"/>
              </w:rPr>
              <w:t>Title: CEO</w:t>
            </w:r>
          </w:p>
        </w:tc>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UPSTART NETWORK, INC.</w:t>
            </w:r>
          </w:p>
        </w:tc>
      </w:tr>
      <w:tr>
        <w:trPr>
          <w:trHeight w:val="729"/>
        </w:trPr>
        <w:tc>
          <w:tcPr>
            <w:tcW w:w="5620" w:type="dxa"/>
            <w:vAlign w:val="bottom"/>
            <w:gridSpan w:val="2"/>
          </w:tcPr>
          <w:p>
            <w:pPr>
              <w:spacing w:after="0"/>
              <w:rPr>
                <w:sz w:val="20"/>
                <w:szCs w:val="20"/>
                <w:color w:val="auto"/>
              </w:rPr>
            </w:pPr>
            <w:r>
              <w:rPr>
                <w:rFonts w:ascii="Arial" w:cs="Arial" w:eastAsia="Arial" w:hAnsi="Arial"/>
                <w:sz w:val="17"/>
                <w:szCs w:val="17"/>
                <w:color w:val="auto"/>
              </w:rPr>
              <w:t>/s/ Arlen Gelbard</w:t>
            </w:r>
          </w:p>
        </w:tc>
        <w:tc>
          <w:tcPr>
            <w:tcW w:w="2440" w:type="dxa"/>
            <w:vAlign w:val="bottom"/>
            <w:gridSpan w:val="2"/>
          </w:tcPr>
          <w:p>
            <w:pPr>
              <w:spacing w:after="0"/>
              <w:rPr>
                <w:sz w:val="20"/>
                <w:szCs w:val="20"/>
                <w:color w:val="auto"/>
              </w:rPr>
            </w:pPr>
            <w:r>
              <w:rPr>
                <w:rFonts w:ascii="Arial" w:cs="Arial" w:eastAsia="Arial" w:hAnsi="Arial"/>
                <w:sz w:val="17"/>
                <w:szCs w:val="17"/>
                <w:color w:val="auto"/>
              </w:rPr>
              <w:t>/s/ Emiko Kurotsu</w:t>
            </w:r>
          </w:p>
        </w:tc>
      </w:tr>
      <w:tr>
        <w:trPr>
          <w:trHeight w:val="160"/>
        </w:trPr>
        <w:tc>
          <w:tcPr>
            <w:tcW w:w="1480" w:type="dxa"/>
            <w:vAlign w:val="bottom"/>
            <w:tcBorders>
              <w:top w:val="single" w:sz="8" w:color="auto"/>
            </w:tcBorders>
          </w:tcPr>
          <w:p>
            <w:pPr>
              <w:spacing w:after="0" w:line="160" w:lineRule="exact"/>
              <w:rPr>
                <w:sz w:val="20"/>
                <w:szCs w:val="20"/>
                <w:color w:val="auto"/>
              </w:rPr>
            </w:pPr>
            <w:r>
              <w:rPr>
                <w:rFonts w:ascii="Arial" w:cs="Arial" w:eastAsia="Arial" w:hAnsi="Arial"/>
                <w:sz w:val="17"/>
                <w:szCs w:val="17"/>
                <w:color w:val="auto"/>
                <w:w w:val="91"/>
              </w:rPr>
              <w:t>Name: Arlen Gelbard</w:t>
            </w:r>
          </w:p>
        </w:tc>
        <w:tc>
          <w:tcPr>
            <w:tcW w:w="4140" w:type="dxa"/>
            <w:vAlign w:val="bottom"/>
          </w:tcPr>
          <w:p>
            <w:pPr>
              <w:spacing w:after="0"/>
              <w:rPr>
                <w:sz w:val="13"/>
                <w:szCs w:val="13"/>
                <w:color w:val="auto"/>
              </w:rPr>
            </w:pPr>
          </w:p>
        </w:tc>
        <w:tc>
          <w:tcPr>
            <w:tcW w:w="1540" w:type="dxa"/>
            <w:vAlign w:val="bottom"/>
            <w:tcBorders>
              <w:top w:val="single" w:sz="8" w:color="auto"/>
            </w:tcBorders>
          </w:tcPr>
          <w:p>
            <w:pPr>
              <w:spacing w:after="0" w:line="160" w:lineRule="exact"/>
              <w:rPr>
                <w:sz w:val="20"/>
                <w:szCs w:val="20"/>
                <w:color w:val="auto"/>
              </w:rPr>
            </w:pPr>
            <w:r>
              <w:rPr>
                <w:rFonts w:ascii="Arial" w:cs="Arial" w:eastAsia="Arial" w:hAnsi="Arial"/>
                <w:sz w:val="17"/>
                <w:szCs w:val="17"/>
                <w:color w:val="auto"/>
                <w:w w:val="91"/>
              </w:rPr>
              <w:t>Name: Emiko Kurotsu</w:t>
            </w:r>
          </w:p>
        </w:tc>
        <w:tc>
          <w:tcPr>
            <w:tcW w:w="900" w:type="dxa"/>
            <w:vAlign w:val="bottom"/>
          </w:tcPr>
          <w:p>
            <w:pPr>
              <w:spacing w:after="0"/>
              <w:rPr>
                <w:sz w:val="13"/>
                <w:szCs w:val="13"/>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7"/>
                <w:szCs w:val="17"/>
                <w:color w:val="auto"/>
              </w:rPr>
              <w:t>Title: General Counsel</w:t>
            </w:r>
          </w:p>
        </w:tc>
        <w:tc>
          <w:tcPr>
            <w:tcW w:w="2440" w:type="dxa"/>
            <w:vAlign w:val="bottom"/>
            <w:gridSpan w:val="2"/>
          </w:tcPr>
          <w:p>
            <w:pPr>
              <w:spacing w:after="0"/>
              <w:rPr>
                <w:sz w:val="20"/>
                <w:szCs w:val="20"/>
                <w:color w:val="auto"/>
              </w:rPr>
            </w:pPr>
            <w:r>
              <w:rPr>
                <w:rFonts w:ascii="Arial" w:cs="Arial" w:eastAsia="Arial" w:hAnsi="Arial"/>
                <w:sz w:val="17"/>
                <w:szCs w:val="17"/>
                <w:color w:val="auto"/>
              </w:rPr>
              <w:t>Title: Lead Commercial Counsel</w:t>
            </w:r>
          </w:p>
        </w:tc>
      </w:tr>
    </w:tbl>
    <w:p>
      <w:pPr>
        <w:sectPr>
          <w:pgSz w:w="11900" w:h="16838" w:orient="portrait"/>
          <w:cols w:equalWidth="0" w:num="1">
            <w:col w:w="11240"/>
          </w:cols>
          <w:pgMar w:left="320" w:top="1343"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9"/>
          <w:szCs w:val="19"/>
          <w:b w:val="1"/>
          <w:bCs w:val="1"/>
          <w:color w:val="auto"/>
        </w:rPr>
        <w:t>Exhibit 10.5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Upstart-CRB Small Business Loan Program</w:t>
      </w:r>
    </w:p>
    <w:p>
      <w:pPr>
        <w:jc w:val="center"/>
        <w:spacing w:after="0"/>
        <w:rPr>
          <w:sz w:val="20"/>
          <w:szCs w:val="20"/>
          <w:color w:val="auto"/>
        </w:rPr>
      </w:pPr>
      <w:r>
        <w:rPr>
          <w:rFonts w:ascii="Arial" w:cs="Arial" w:eastAsia="Arial" w:hAnsi="Arial"/>
          <w:sz w:val="17"/>
          <w:szCs w:val="17"/>
          <w:b w:val="1"/>
          <w:bCs w:val="1"/>
          <w:color w:val="auto"/>
        </w:rPr>
        <w:t>Sale Agreement Addendum</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This Small Business Loan Program Sale Agreement Addendum (the “</w:t>
      </w:r>
      <w:r>
        <w:rPr>
          <w:rFonts w:ascii="Arial" w:cs="Arial" w:eastAsia="Arial" w:hAnsi="Arial"/>
          <w:sz w:val="17"/>
          <w:szCs w:val="17"/>
          <w:b w:val="1"/>
          <w:bCs w:val="1"/>
          <w:color w:val="auto"/>
        </w:rPr>
        <w:t>Addendum</w:t>
      </w:r>
      <w:r>
        <w:rPr>
          <w:rFonts w:ascii="Arial" w:cs="Arial" w:eastAsia="Arial" w:hAnsi="Arial"/>
          <w:sz w:val="17"/>
          <w:szCs w:val="17"/>
          <w:color w:val="auto"/>
        </w:rPr>
        <w:t>”) is entered into as of June 28, 2022 and is attached to and made a part of the Third Amended and Restated Loan Sale Agreement between Cross River Bank (“</w:t>
      </w:r>
      <w:r>
        <w:rPr>
          <w:rFonts w:ascii="Arial" w:cs="Arial" w:eastAsia="Arial" w:hAnsi="Arial"/>
          <w:sz w:val="17"/>
          <w:szCs w:val="17"/>
          <w:b w:val="1"/>
          <w:bCs w:val="1"/>
          <w:color w:val="auto"/>
        </w:rPr>
        <w:t>Bank</w:t>
      </w:r>
      <w:r>
        <w:rPr>
          <w:rFonts w:ascii="Arial" w:cs="Arial" w:eastAsia="Arial" w:hAnsi="Arial"/>
          <w:sz w:val="17"/>
          <w:szCs w:val="17"/>
          <w:color w:val="auto"/>
        </w:rPr>
        <w:t>”) and Upstart Network, Inc. (“</w:t>
      </w:r>
      <w:r>
        <w:rPr>
          <w:rFonts w:ascii="Arial" w:cs="Arial" w:eastAsia="Arial" w:hAnsi="Arial"/>
          <w:sz w:val="17"/>
          <w:szCs w:val="17"/>
          <w:b w:val="1"/>
          <w:bCs w:val="1"/>
          <w:color w:val="auto"/>
        </w:rPr>
        <w:t>Purchaser</w:t>
      </w:r>
      <w:r>
        <w:rPr>
          <w:rFonts w:ascii="Arial" w:cs="Arial" w:eastAsia="Arial" w:hAnsi="Arial"/>
          <w:sz w:val="17"/>
          <w:szCs w:val="17"/>
          <w:color w:val="auto"/>
        </w:rPr>
        <w:t>”) dated January 1, 2019 (as amended, supplemented or otherwise modified, the “</w:t>
      </w:r>
      <w:r>
        <w:rPr>
          <w:rFonts w:ascii="Arial" w:cs="Arial" w:eastAsia="Arial" w:hAnsi="Arial"/>
          <w:sz w:val="17"/>
          <w:szCs w:val="17"/>
          <w:b w:val="1"/>
          <w:bCs w:val="1"/>
          <w:color w:val="auto"/>
        </w:rPr>
        <w:t>Sale Agreement</w:t>
      </w:r>
      <w:r>
        <w:rPr>
          <w:rFonts w:ascii="Arial" w:cs="Arial" w:eastAsia="Arial" w:hAnsi="Arial"/>
          <w:sz w:val="17"/>
          <w:szCs w:val="17"/>
          <w:color w:val="auto"/>
        </w:rPr>
        <w:t>”).</w:t>
      </w:r>
    </w:p>
    <w:p>
      <w:pPr>
        <w:spacing w:after="0" w:line="162"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wish to supplement the Sale Agreement with additional terms and conditions related to Bank’s sale of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secured and unsecured small business loans used for business purposes (each, a “</w:t>
      </w:r>
      <w:r>
        <w:rPr>
          <w:rFonts w:ascii="Arial" w:cs="Arial" w:eastAsia="Arial" w:hAnsi="Arial"/>
          <w:sz w:val="17"/>
          <w:szCs w:val="17"/>
          <w:b w:val="1"/>
          <w:bCs w:val="1"/>
          <w:color w:val="auto"/>
        </w:rPr>
        <w:t>Small Business Loan</w:t>
      </w:r>
      <w:r>
        <w:rPr>
          <w:rFonts w:ascii="Arial" w:cs="Arial" w:eastAsia="Arial" w:hAnsi="Arial"/>
          <w:sz w:val="17"/>
          <w:szCs w:val="17"/>
          <w:color w:val="auto"/>
        </w:rPr>
        <w:t>”).</w:t>
      </w:r>
    </w:p>
    <w:p>
      <w:pPr>
        <w:spacing w:after="0" w:line="14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N</w:t>
      </w:r>
      <w:r>
        <w:rPr>
          <w:rFonts w:ascii="Arial" w:cs="Arial" w:eastAsia="Arial" w:hAnsi="Arial"/>
          <w:sz w:val="17"/>
          <w:szCs w:val="17"/>
          <w:b w:val="1"/>
          <w:bCs w:val="1"/>
          <w:color w:val="auto"/>
        </w:rPr>
        <w:t>OW THEREFORE</w:t>
      </w:r>
      <w:r>
        <w:rPr>
          <w:rFonts w:ascii="Arial" w:cs="Arial" w:eastAsia="Arial" w:hAnsi="Arial"/>
          <w:sz w:val="17"/>
          <w:szCs w:val="17"/>
          <w:color w:val="auto"/>
        </w:rPr>
        <w:t>, in consideration of the mutual covenants and promises exchanged herein, the receipt and sufficiency of which is hereby acknowledged as adequate consideration, the parties agree as follows:</w:t>
      </w:r>
    </w:p>
    <w:p>
      <w:pPr>
        <w:spacing w:after="0" w:line="134" w:lineRule="exact"/>
        <w:rPr>
          <w:sz w:val="20"/>
          <w:szCs w:val="20"/>
          <w:color w:val="auto"/>
        </w:rPr>
      </w:pPr>
    </w:p>
    <w:p>
      <w:pPr>
        <w:ind w:left="1240" w:hanging="618"/>
        <w:spacing w:after="0" w:line="241" w:lineRule="auto"/>
        <w:tabs>
          <w:tab w:leader="none" w:pos="1231"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Capitalized terms used in this Addendum but not defined herein will have the same meaning as in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358" w:lineRule="exact"/>
        <w:rPr>
          <w:rFonts w:ascii="Arial" w:cs="Arial" w:eastAsia="Arial" w:hAnsi="Arial"/>
          <w:sz w:val="17"/>
          <w:szCs w:val="17"/>
          <w:b w:val="1"/>
          <w:bCs w:val="1"/>
          <w:color w:val="auto"/>
        </w:rPr>
      </w:pPr>
    </w:p>
    <w:p>
      <w:pPr>
        <w:ind w:left="1240" w:hanging="618"/>
        <w:spacing w:after="0"/>
        <w:tabs>
          <w:tab w:leader="none" w:pos="12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Small Business Loan Program</w:t>
      </w:r>
      <w:r>
        <w:rPr>
          <w:rFonts w:ascii="Arial" w:cs="Arial" w:eastAsia="Arial" w:hAnsi="Arial"/>
          <w:sz w:val="17"/>
          <w:szCs w:val="17"/>
          <w:color w:val="auto"/>
        </w:rPr>
        <w:t>. The parties agree as follows:</w:t>
      </w:r>
    </w:p>
    <w:p>
      <w:pPr>
        <w:spacing w:after="0" w:line="198" w:lineRule="exact"/>
        <w:rPr>
          <w:sz w:val="20"/>
          <w:szCs w:val="20"/>
          <w:color w:val="auto"/>
        </w:rPr>
      </w:pPr>
    </w:p>
    <w:p>
      <w:pPr>
        <w:ind w:left="1240" w:hanging="618"/>
        <w:spacing w:after="0" w:line="229" w:lineRule="auto"/>
        <w:tabs>
          <w:tab w:leader="none" w:pos="12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Solely for purposes of the Small Business Loan Program, the definition of “Loan” in the Sale Agreement is hereby deleted in its entirety and replaced with the following:</w:t>
      </w:r>
    </w:p>
    <w:p>
      <w:pPr>
        <w:spacing w:after="0" w:line="181"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means a consumer loan or a commercial loan made by Bank to a Borrower under the Program.</w:t>
      </w:r>
    </w:p>
    <w:p>
      <w:pPr>
        <w:spacing w:after="0" w:line="178" w:lineRule="exact"/>
        <w:rPr>
          <w:rFonts w:ascii="Arial" w:cs="Arial" w:eastAsia="Arial" w:hAnsi="Arial"/>
          <w:sz w:val="17"/>
          <w:szCs w:val="17"/>
          <w:color w:val="auto"/>
        </w:rPr>
      </w:pPr>
    </w:p>
    <w:p>
      <w:pPr>
        <w:ind w:left="1240"/>
        <w:spacing w:after="0" w:line="229" w:lineRule="auto"/>
        <w:rPr>
          <w:rFonts w:ascii="Arial" w:cs="Arial" w:eastAsia="Arial" w:hAnsi="Arial"/>
          <w:sz w:val="17"/>
          <w:szCs w:val="17"/>
          <w:color w:val="auto"/>
        </w:rPr>
      </w:pPr>
      <w:r>
        <w:rPr>
          <w:rFonts w:ascii="Arial" w:cs="Arial" w:eastAsia="Arial" w:hAnsi="Arial"/>
          <w:sz w:val="17"/>
          <w:szCs w:val="17"/>
          <w:color w:val="auto"/>
        </w:rPr>
        <w:t>The parties agree that all other terms and provisions (including, without limitation, all definitions) in the Program Agreement are hereby deemed modified as necessary to expand the Program to apply to commercial loans, in addition to consumer loans.</w:t>
      </w:r>
    </w:p>
    <w:p>
      <w:pPr>
        <w:spacing w:after="0" w:line="181" w:lineRule="exact"/>
        <w:rPr>
          <w:rFonts w:ascii="Arial" w:cs="Arial" w:eastAsia="Arial" w:hAnsi="Arial"/>
          <w:sz w:val="17"/>
          <w:szCs w:val="17"/>
          <w:color w:val="auto"/>
        </w:rPr>
      </w:pPr>
    </w:p>
    <w:p>
      <w:pPr>
        <w:jc w:val="both"/>
        <w:ind w:left="1240" w:hanging="618"/>
        <w:spacing w:after="0" w:line="221" w:lineRule="auto"/>
        <w:tabs>
          <w:tab w:leader="none" w:pos="12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Small Business Loan is a Loan under the Sale Agreement and any Purchaser Loan that is a Small Business Loan shall be referred to in this Addendum as a “</w:t>
      </w:r>
      <w:r>
        <w:rPr>
          <w:rFonts w:ascii="Arial" w:cs="Arial" w:eastAsia="Arial" w:hAnsi="Arial"/>
          <w:sz w:val="17"/>
          <w:szCs w:val="17"/>
          <w:b w:val="1"/>
          <w:bCs w:val="1"/>
          <w:color w:val="auto"/>
        </w:rPr>
        <w:t>Purchased Small Business Loan</w:t>
      </w:r>
      <w:r>
        <w:rPr>
          <w:rFonts w:ascii="Arial" w:cs="Arial" w:eastAsia="Arial" w:hAnsi="Arial"/>
          <w:sz w:val="17"/>
          <w:szCs w:val="17"/>
          <w:color w:val="auto"/>
        </w:rPr>
        <w:t>”. Except as otherwise set forth in this Addendum, the terms and conditions set forth in the Sale Agreement that apply to the Program and the Loans and Purchaser Loans shall apply to Small Business Loan Program and the Small Business Loans and Purchased Small Business Loans, respectively, thereunder.</w:t>
      </w:r>
    </w:p>
    <w:p>
      <w:pPr>
        <w:spacing w:after="0" w:line="169" w:lineRule="exact"/>
        <w:rPr>
          <w:rFonts w:ascii="Arial" w:cs="Arial" w:eastAsia="Arial" w:hAnsi="Arial"/>
          <w:sz w:val="17"/>
          <w:szCs w:val="17"/>
          <w:color w:val="auto"/>
        </w:rPr>
      </w:pPr>
    </w:p>
    <w:p>
      <w:pPr>
        <w:jc w:val="both"/>
        <w:ind w:left="1240" w:hanging="618"/>
        <w:spacing w:after="0" w:line="226" w:lineRule="auto"/>
        <w:tabs>
          <w:tab w:leader="none" w:pos="123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term “Small Business Loan Applicant” shall mean a Loan Applicant with respect to a Loan that is a commercial loan. For the avoidance of doubt, only businesses are eligible for Loans under the Small Business Loan Program, which includes natural persons that are sole proprietorships who intend to use the Loan for business purposes.</w:t>
      </w:r>
    </w:p>
    <w:p>
      <w:pPr>
        <w:spacing w:after="0" w:line="169" w:lineRule="exact"/>
        <w:rPr>
          <w:rFonts w:ascii="Arial" w:cs="Arial" w:eastAsia="Arial" w:hAnsi="Arial"/>
          <w:sz w:val="17"/>
          <w:szCs w:val="17"/>
          <w:color w:val="auto"/>
        </w:rPr>
      </w:pPr>
    </w:p>
    <w:p>
      <w:pPr>
        <w:ind w:left="1220" w:hanging="598"/>
        <w:spacing w:after="0"/>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term “Small Business Borrower” shall mean a Borrower with respect to a Loan that is a commercial loan.</w:t>
      </w:r>
    </w:p>
    <w:p>
      <w:pPr>
        <w:spacing w:after="0" w:line="178" w:lineRule="exact"/>
        <w:rPr>
          <w:rFonts w:ascii="Arial" w:cs="Arial" w:eastAsia="Arial" w:hAnsi="Arial"/>
          <w:sz w:val="17"/>
          <w:szCs w:val="17"/>
          <w:color w:val="auto"/>
        </w:rPr>
      </w:pPr>
    </w:p>
    <w:p>
      <w:pPr>
        <w:jc w:val="both"/>
        <w:ind w:left="1240" w:hanging="618"/>
        <w:spacing w:after="0"/>
        <w:tabs>
          <w:tab w:leader="none" w:pos="12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addition to the representations and warranties set forth in 5(i) of the Sale Agreement, as of any Closing Date of a sale of any Small Business Loans to Purchaser, Bank represents and warrants that with respect to such Purchased Small Business Loan being sold:</w:t>
      </w:r>
    </w:p>
    <w:p>
      <w:pPr>
        <w:spacing w:after="0" w:line="330" w:lineRule="exact"/>
        <w:rPr>
          <w:rFonts w:ascii="Arial" w:cs="Arial" w:eastAsia="Arial" w:hAnsi="Arial"/>
          <w:sz w:val="17"/>
          <w:szCs w:val="17"/>
          <w:color w:val="auto"/>
        </w:rPr>
      </w:pPr>
    </w:p>
    <w:p>
      <w:pPr>
        <w:jc w:val="both"/>
        <w:ind w:left="2480" w:hanging="620"/>
        <w:spacing w:after="0" w:line="218" w:lineRule="auto"/>
        <w:tabs>
          <w:tab w:leader="none" w:pos="2476" w:val="left"/>
        </w:tabs>
        <w:numPr>
          <w:ilvl w:val="1"/>
          <w:numId w:val="63"/>
        </w:numPr>
        <w:rPr>
          <w:rFonts w:ascii="Arial" w:cs="Arial" w:eastAsia="Arial" w:hAnsi="Arial"/>
          <w:sz w:val="17"/>
          <w:szCs w:val="17"/>
          <w:color w:val="auto"/>
        </w:rPr>
      </w:pPr>
      <w:r>
        <w:rPr>
          <w:rFonts w:ascii="Arial" w:cs="Arial" w:eastAsia="Arial" w:hAnsi="Arial"/>
          <w:sz w:val="17"/>
          <w:szCs w:val="17"/>
          <w:color w:val="auto"/>
        </w:rPr>
        <w:t>To the best knowledge of Bank, with respect to each Purchased Small Business Loan that is secured by collateral of the Small Business Borrower (any such collateral, “Small Business Collateral”), such Purchased Small Business Loan is secured by a valid, legal, perfected, enforceable first-priority lien on such Small Business Collateral. To the best knowledge of Bank, all such action necessary to cause each such Purchased Small Business Loan to be secured as provided for above has been taken, including, without limitation, causing to be duly filed any</w:t>
      </w:r>
    </w:p>
    <w:p>
      <w:pPr>
        <w:sectPr>
          <w:pgSz w:w="11900" w:h="16838" w:orient="portrait"/>
          <w:cols w:equalWidth="0" w:num="1">
            <w:col w:w="11240"/>
          </w:cols>
          <w:pgMar w:left="320" w:top="1341" w:right="339" w:bottom="1440" w:gutter="0" w:footer="0" w:header="0"/>
        </w:sectPr>
      </w:pPr>
    </w:p>
    <w:bookmarkStart w:id="147" w:name="page148"/>
    <w:bookmarkEnd w:id="147"/>
    <w:p>
      <w:pPr>
        <w:ind w:left="1858"/>
        <w:spacing w:after="0" w:line="229" w:lineRule="auto"/>
        <w:rPr>
          <w:sz w:val="20"/>
          <w:szCs w:val="20"/>
          <w:color w:val="auto"/>
        </w:rPr>
      </w:pPr>
      <w:r>
        <w:rPr>
          <w:rFonts w:ascii="Arial" w:cs="Arial" w:eastAsia="Arial" w:hAnsi="Arial"/>
          <w:sz w:val="17"/>
          <w:szCs w:val="17"/>
          <w:color w:val="auto"/>
        </w:rPr>
        <w:t>and all instruments and documents, including UCC financing statements, necessary to obtain and perfect Bank’s security interest in any Small Business Collateral and the related rights and remedies with respect thereto.</w:t>
      </w:r>
    </w:p>
    <w:p>
      <w:pPr>
        <w:spacing w:after="0" w:line="181" w:lineRule="exact"/>
        <w:rPr>
          <w:sz w:val="20"/>
          <w:szCs w:val="20"/>
          <w:color w:val="auto"/>
        </w:rPr>
      </w:pPr>
    </w:p>
    <w:p>
      <w:pPr>
        <w:jc w:val="both"/>
        <w:ind w:left="1858" w:hanging="620"/>
        <w:spacing w:after="0" w:line="214" w:lineRule="auto"/>
        <w:tabs>
          <w:tab w:leader="none" w:pos="1853" w:val="left"/>
        </w:tabs>
        <w:numPr>
          <w:ilvl w:val="1"/>
          <w:numId w:val="64"/>
        </w:numPr>
        <w:rPr>
          <w:rFonts w:ascii="Arial" w:cs="Arial" w:eastAsia="Arial" w:hAnsi="Arial"/>
          <w:sz w:val="17"/>
          <w:szCs w:val="17"/>
          <w:color w:val="auto"/>
        </w:rPr>
      </w:pPr>
      <w:r>
        <w:rPr>
          <w:rFonts w:ascii="Arial" w:cs="Arial" w:eastAsia="Arial" w:hAnsi="Arial"/>
          <w:sz w:val="17"/>
          <w:szCs w:val="17"/>
          <w:color w:val="auto"/>
        </w:rPr>
        <w:t>To the best knowledge of Bank, the Loan Documents for each Purchased Small Business Loan include each of the following, as part of the origination and servicing file for such Purchased Small Business Loan or otherwise: (i) the application of the obligor for credit; (ii) a copy of the Purchased Small Business Loan agreement and any amendments thereto; (iii) a copy (but not the original) of any UCC financing statement (if) naming Bank as secured party with respect to any security interest in the assets of the Small Business Borrower; (iv) any disclosures that are required to be made to the Small Business Loan Applicant and/or Small Business Borrower; (v) the guarantee (if any) by the guarantor or guarantors of the obligations of such Small Business Borrower under the Small Business Loan agreement and (vi) such other documents as Bank additionally maintains in connection with the origination and servicing of any Purchased Small Business Loan.</w:t>
      </w:r>
    </w:p>
    <w:p>
      <w:pPr>
        <w:spacing w:after="0" w:line="164" w:lineRule="exact"/>
        <w:rPr>
          <w:rFonts w:ascii="Arial" w:cs="Arial" w:eastAsia="Arial" w:hAnsi="Arial"/>
          <w:sz w:val="17"/>
          <w:szCs w:val="17"/>
          <w:color w:val="auto"/>
        </w:rPr>
      </w:pPr>
    </w:p>
    <w:p>
      <w:pPr>
        <w:jc w:val="both"/>
        <w:ind w:left="618" w:hanging="618"/>
        <w:spacing w:after="0" w:line="223" w:lineRule="auto"/>
        <w:tabs>
          <w:tab w:leader="none" w:pos="609"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The terms and conditions of the Sale Agreement in effect between the parties shall continue to be in full force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 and apply to this Addendum; </w:t>
      </w:r>
      <w:r>
        <w:rPr>
          <w:rFonts w:ascii="Arial" w:cs="Arial" w:eastAsia="Arial" w:hAnsi="Arial"/>
          <w:sz w:val="17"/>
          <w:szCs w:val="17"/>
          <w:i w:val="1"/>
          <w:iCs w:val="1"/>
          <w:color w:val="auto"/>
        </w:rPr>
        <w:t>provided however</w:t>
      </w:r>
      <w:r>
        <w:rPr>
          <w:rFonts w:ascii="Arial" w:cs="Arial" w:eastAsia="Arial" w:hAnsi="Arial"/>
          <w:sz w:val="17"/>
          <w:szCs w:val="17"/>
          <w:color w:val="auto"/>
        </w:rPr>
        <w:t>, that solely with respect to the subject matter of this Addendum, in the event of a conflict between the terms of the Sale Agreement and the terms of this Addendum, the terms of this Addendum shall control. This Addendum may not be altered, amended, or modified except by written instrument, signed by the duly authorized representatives of all parties.</w:t>
      </w:r>
    </w:p>
    <w:p>
      <w:pPr>
        <w:spacing w:after="0" w:line="151" w:lineRule="exact"/>
        <w:rPr>
          <w:sz w:val="20"/>
          <w:szCs w:val="20"/>
          <w:color w:val="auto"/>
        </w:rPr>
      </w:pPr>
    </w:p>
    <w:p>
      <w:pPr>
        <w:ind w:left="4038"/>
        <w:spacing w:after="0"/>
        <w:rPr>
          <w:sz w:val="20"/>
          <w:szCs w:val="20"/>
          <w:color w:val="auto"/>
        </w:rPr>
      </w:pP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518"/>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18"/>
          </w:cols>
          <w:pgMar w:left="942" w:top="1363" w:right="339" w:bottom="1440" w:gutter="0" w:footer="0" w:header="0"/>
        </w:sectPr>
      </w:pPr>
    </w:p>
    <w:bookmarkStart w:id="148" w:name="page149"/>
    <w:bookmarkEnd w:id="148"/>
    <w:p>
      <w:pPr>
        <w:spacing w:after="0" w:line="136"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intending to be legally bound, have caused this Addendum to be executed by their duly authorized</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as of the Addendum Effective Date.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CROSS RIVER BANK</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Gilles Gade</w:t>
      </w:r>
    </w:p>
    <w:p>
      <w:pPr>
        <w:ind w:left="20"/>
        <w:spacing w:after="0" w:line="221" w:lineRule="auto"/>
        <w:rPr>
          <w:sz w:val="20"/>
          <w:szCs w:val="20"/>
          <w:color w:val="auto"/>
        </w:rPr>
      </w:pPr>
      <w:r>
        <w:rPr>
          <w:rFonts w:ascii="Arial" w:cs="Arial" w:eastAsia="Arial" w:hAnsi="Arial"/>
          <w:sz w:val="17"/>
          <w:szCs w:val="17"/>
          <w:color w:val="auto"/>
        </w:rPr>
        <w:t>Name: Gilles Gade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-113030</wp:posOffset>
            </wp:positionV>
            <wp:extent cx="8369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26"/>
        </w:trPr>
        <w:tc>
          <w:tcPr>
            <w:tcW w:w="5620" w:type="dxa"/>
            <w:vAlign w:val="bottom"/>
            <w:gridSpan w:val="2"/>
          </w:tcPr>
          <w:p>
            <w:pPr>
              <w:spacing w:after="0"/>
              <w:rPr>
                <w:sz w:val="20"/>
                <w:szCs w:val="20"/>
                <w:color w:val="auto"/>
              </w:rPr>
            </w:pPr>
            <w:r>
              <w:rPr>
                <w:rFonts w:ascii="Arial" w:cs="Arial" w:eastAsia="Arial" w:hAnsi="Arial"/>
                <w:sz w:val="17"/>
                <w:szCs w:val="17"/>
                <w:color w:val="auto"/>
              </w:rPr>
              <w:t>Title: CEO</w:t>
            </w:r>
          </w:p>
        </w:tc>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UPSTART NETWORK, INC.</w:t>
            </w:r>
          </w:p>
        </w:tc>
      </w:tr>
      <w:tr>
        <w:trPr>
          <w:trHeight w:val="729"/>
        </w:trPr>
        <w:tc>
          <w:tcPr>
            <w:tcW w:w="5620" w:type="dxa"/>
            <w:vAlign w:val="bottom"/>
            <w:gridSpan w:val="2"/>
          </w:tcPr>
          <w:p>
            <w:pPr>
              <w:spacing w:after="0"/>
              <w:rPr>
                <w:sz w:val="20"/>
                <w:szCs w:val="20"/>
                <w:color w:val="auto"/>
              </w:rPr>
            </w:pPr>
            <w:r>
              <w:rPr>
                <w:rFonts w:ascii="Arial" w:cs="Arial" w:eastAsia="Arial" w:hAnsi="Arial"/>
                <w:sz w:val="17"/>
                <w:szCs w:val="17"/>
                <w:color w:val="auto"/>
              </w:rPr>
              <w:t>/s/ Arlen Gelbard</w:t>
            </w:r>
          </w:p>
        </w:tc>
        <w:tc>
          <w:tcPr>
            <w:tcW w:w="2440" w:type="dxa"/>
            <w:vAlign w:val="bottom"/>
            <w:gridSpan w:val="2"/>
          </w:tcPr>
          <w:p>
            <w:pPr>
              <w:spacing w:after="0"/>
              <w:rPr>
                <w:sz w:val="20"/>
                <w:szCs w:val="20"/>
                <w:color w:val="auto"/>
              </w:rPr>
            </w:pPr>
            <w:r>
              <w:rPr>
                <w:rFonts w:ascii="Arial" w:cs="Arial" w:eastAsia="Arial" w:hAnsi="Arial"/>
                <w:sz w:val="17"/>
                <w:szCs w:val="17"/>
                <w:color w:val="auto"/>
              </w:rPr>
              <w:t>/s/ Emiko Kurotsu</w:t>
            </w:r>
          </w:p>
        </w:tc>
      </w:tr>
      <w:tr>
        <w:trPr>
          <w:trHeight w:val="160"/>
        </w:trPr>
        <w:tc>
          <w:tcPr>
            <w:tcW w:w="1480" w:type="dxa"/>
            <w:vAlign w:val="bottom"/>
            <w:tcBorders>
              <w:top w:val="single" w:sz="8" w:color="auto"/>
            </w:tcBorders>
          </w:tcPr>
          <w:p>
            <w:pPr>
              <w:spacing w:after="0" w:line="160" w:lineRule="exact"/>
              <w:rPr>
                <w:sz w:val="20"/>
                <w:szCs w:val="20"/>
                <w:color w:val="auto"/>
              </w:rPr>
            </w:pPr>
            <w:r>
              <w:rPr>
                <w:rFonts w:ascii="Arial" w:cs="Arial" w:eastAsia="Arial" w:hAnsi="Arial"/>
                <w:sz w:val="17"/>
                <w:szCs w:val="17"/>
                <w:color w:val="auto"/>
                <w:w w:val="91"/>
              </w:rPr>
              <w:t>Name: Arlen Gelbard</w:t>
            </w:r>
          </w:p>
        </w:tc>
        <w:tc>
          <w:tcPr>
            <w:tcW w:w="4140" w:type="dxa"/>
            <w:vAlign w:val="bottom"/>
          </w:tcPr>
          <w:p>
            <w:pPr>
              <w:spacing w:after="0"/>
              <w:rPr>
                <w:sz w:val="13"/>
                <w:szCs w:val="13"/>
                <w:color w:val="auto"/>
              </w:rPr>
            </w:pPr>
          </w:p>
        </w:tc>
        <w:tc>
          <w:tcPr>
            <w:tcW w:w="1540" w:type="dxa"/>
            <w:vAlign w:val="bottom"/>
            <w:tcBorders>
              <w:top w:val="single" w:sz="8" w:color="auto"/>
            </w:tcBorders>
          </w:tcPr>
          <w:p>
            <w:pPr>
              <w:spacing w:after="0" w:line="160" w:lineRule="exact"/>
              <w:rPr>
                <w:sz w:val="20"/>
                <w:szCs w:val="20"/>
                <w:color w:val="auto"/>
              </w:rPr>
            </w:pPr>
            <w:r>
              <w:rPr>
                <w:rFonts w:ascii="Arial" w:cs="Arial" w:eastAsia="Arial" w:hAnsi="Arial"/>
                <w:sz w:val="17"/>
                <w:szCs w:val="17"/>
                <w:color w:val="auto"/>
                <w:w w:val="91"/>
              </w:rPr>
              <w:t>Name: Emiko Kurotsu</w:t>
            </w:r>
          </w:p>
        </w:tc>
        <w:tc>
          <w:tcPr>
            <w:tcW w:w="900" w:type="dxa"/>
            <w:vAlign w:val="bottom"/>
          </w:tcPr>
          <w:p>
            <w:pPr>
              <w:spacing w:after="0"/>
              <w:rPr>
                <w:sz w:val="13"/>
                <w:szCs w:val="13"/>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7"/>
                <w:szCs w:val="17"/>
                <w:color w:val="auto"/>
              </w:rPr>
              <w:t>Title: General Counsel</w:t>
            </w:r>
          </w:p>
        </w:tc>
        <w:tc>
          <w:tcPr>
            <w:tcW w:w="2440" w:type="dxa"/>
            <w:vAlign w:val="bottom"/>
            <w:gridSpan w:val="2"/>
          </w:tcPr>
          <w:p>
            <w:pPr>
              <w:spacing w:after="0"/>
              <w:rPr>
                <w:sz w:val="20"/>
                <w:szCs w:val="20"/>
                <w:color w:val="auto"/>
              </w:rPr>
            </w:pPr>
            <w:r>
              <w:rPr>
                <w:rFonts w:ascii="Arial" w:cs="Arial" w:eastAsia="Arial" w:hAnsi="Arial"/>
                <w:sz w:val="17"/>
                <w:szCs w:val="17"/>
                <w:color w:val="auto"/>
              </w:rPr>
              <w:t>Title: Lead Commercial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172"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200" w:firstLine="3"/>
        <w:spacing w:after="0" w:line="266" w:lineRule="auto"/>
        <w:tabs>
          <w:tab w:leader="none" w:pos="2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ectPr>
          <w:pgSz w:w="11900" w:h="16838" w:orient="portrait"/>
          <w:cols w:equalWidth="0" w:num="1">
            <w:col w:w="11240"/>
          </w:cols>
          <w:pgMar w:left="320" w:top="1049"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39370</wp:posOffset>
            </wp:positionV>
            <wp:extent cx="24479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20"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Dave Girouard</w:t>
      </w:r>
    </w:p>
    <w:p>
      <w:pPr>
        <w:spacing w:after="0" w:line="105" w:lineRule="exact"/>
        <w:rPr>
          <w:sz w:val="20"/>
          <w:szCs w:val="20"/>
          <w:color w:val="auto"/>
        </w:rPr>
      </w:pPr>
    </w:p>
    <w:p>
      <w:pPr>
        <w:sectPr>
          <w:pgSz w:w="11900" w:h="16838" w:orient="portrait"/>
          <w:cols w:equalWidth="0" w:num="2">
            <w:col w:w="460" w:space="260"/>
            <w:col w:w="9239"/>
          </w:cols>
          <w:pgMar w:left="50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2">
            <w:col w:w="360" w:space="360"/>
            <w:col w:w="9239"/>
          </w:cols>
          <w:pgMar w:left="500" w:top="1120" w:right="1440"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17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200" w:firstLine="3"/>
        <w:spacing w:after="0" w:line="266" w:lineRule="auto"/>
        <w:tabs>
          <w:tab w:leader="none" w:pos="2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November 8, 2022</w:t>
      </w:r>
    </w:p>
    <w:p>
      <w:pPr>
        <w:sectPr>
          <w:pgSz w:w="11900" w:h="16838" w:orient="portrait"/>
          <w:cols w:equalWidth="0" w:num="1">
            <w:col w:w="11240"/>
          </w:cols>
          <w:pgMar w:left="320" w:top="1049"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39370</wp:posOffset>
            </wp:positionV>
            <wp:extent cx="24479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20"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Sanjay Datta</w:t>
      </w:r>
    </w:p>
    <w:p>
      <w:pPr>
        <w:spacing w:after="0" w:line="105" w:lineRule="exact"/>
        <w:rPr>
          <w:sz w:val="20"/>
          <w:szCs w:val="20"/>
          <w:color w:val="auto"/>
        </w:rPr>
      </w:pPr>
    </w:p>
    <w:p>
      <w:pPr>
        <w:sectPr>
          <w:pgSz w:w="11900" w:h="16838" w:orient="portrait"/>
          <w:cols w:equalWidth="0" w:num="2">
            <w:col w:w="460" w:space="260"/>
            <w:col w:w="9239"/>
          </w:cols>
          <w:pgMar w:left="500" w:top="112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2">
            <w:col w:w="360" w:space="360"/>
            <w:col w:w="9239"/>
          </w:cols>
          <w:pgMar w:left="500" w:top="1120" w:right="1440"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9"/>
          <w:szCs w:val="19"/>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 Dave Girouard, certify, pursuant to 18 U.S.C. Section 1350, as adopted pursuant to Section 906 of the Sarbanes-Oxley Act of 2002, that the Quarterly Report on Form 10-Q of Upstart Holdings, Inc. for the quarter ended September 30,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60" w:type="dxa"/>
            <w:vAlign w:val="bottom"/>
          </w:tcPr>
          <w:p>
            <w:pPr>
              <w:ind w:left="20"/>
              <w:spacing w:after="0"/>
              <w:rPr>
                <w:sz w:val="20"/>
                <w:szCs w:val="20"/>
                <w:color w:val="auto"/>
              </w:rPr>
            </w:pPr>
            <w:r>
              <w:rPr>
                <w:rFonts w:ascii="Arial" w:cs="Arial" w:eastAsia="Arial" w:hAnsi="Arial"/>
                <w:sz w:val="19"/>
                <w:szCs w:val="19"/>
                <w:color w:val="auto"/>
              </w:rPr>
              <w:t>Date: November 8,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Dave Girouard</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Dave Girouard</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 and President</w:t>
            </w:r>
          </w:p>
        </w:tc>
      </w:tr>
      <w:tr>
        <w:trPr>
          <w:trHeight w:val="297"/>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66"/>
        </w:trPr>
        <w:tc>
          <w:tcPr>
            <w:tcW w:w="5460" w:type="dxa"/>
            <w:vAlign w:val="bottom"/>
            <w:shd w:val="clear" w:color="auto" w:fill="FEFEFE"/>
          </w:tcPr>
          <w:p>
            <w:pPr>
              <w:spacing w:after="0"/>
              <w:rPr>
                <w:sz w:val="23"/>
                <w:szCs w:val="23"/>
                <w:color w:val="auto"/>
              </w:rPr>
            </w:pPr>
          </w:p>
        </w:tc>
        <w:tc>
          <w:tcPr>
            <w:tcW w:w="94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 Sanjay Datta, certify, pursuant to 18 U.S.C. Section 1350, as adopted pursuant to Section 906 of the Sarbanes-Oxley Act of 2002, that the Quarterly Report on Form 10-Q of Upstart Holdings, Inc. for the quarter ended September 30,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60" w:type="dxa"/>
            <w:vAlign w:val="bottom"/>
          </w:tcPr>
          <w:p>
            <w:pPr>
              <w:ind w:left="20"/>
              <w:spacing w:after="0"/>
              <w:rPr>
                <w:sz w:val="20"/>
                <w:szCs w:val="20"/>
                <w:color w:val="auto"/>
              </w:rPr>
            </w:pPr>
            <w:r>
              <w:rPr>
                <w:rFonts w:ascii="Arial" w:cs="Arial" w:eastAsia="Arial" w:hAnsi="Arial"/>
                <w:sz w:val="19"/>
                <w:szCs w:val="19"/>
                <w:color w:val="auto"/>
              </w:rPr>
              <w:t>Date: November 8,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Sanjay Datta</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Sanjay Datta</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309"/>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Financial Officer)</w:t>
            </w:r>
          </w:p>
        </w:tc>
      </w:tr>
      <w:tr>
        <w:trPr>
          <w:trHeight w:val="47"/>
        </w:trPr>
        <w:tc>
          <w:tcPr>
            <w:tcW w:w="5460" w:type="dxa"/>
            <w:vAlign w:val="bottom"/>
            <w:shd w:val="clear" w:color="auto" w:fill="FEFEFE"/>
          </w:tcPr>
          <w:p>
            <w:pPr>
              <w:spacing w:after="0"/>
              <w:rPr>
                <w:sz w:val="4"/>
                <w:szCs w:val="4"/>
                <w:color w:val="auto"/>
              </w:rPr>
            </w:pPr>
          </w:p>
        </w:tc>
        <w:tc>
          <w:tcPr>
            <w:tcW w:w="940" w:type="dxa"/>
            <w:vAlign w:val="bottom"/>
            <w:shd w:val="clear" w:color="auto" w:fill="FEFEFE"/>
          </w:tcPr>
          <w:p>
            <w:pPr>
              <w:spacing w:after="0"/>
              <w:rPr>
                <w:sz w:val="4"/>
                <w:szCs w:val="4"/>
                <w:color w:val="auto"/>
              </w:rPr>
            </w:pPr>
          </w:p>
        </w:tc>
        <w:tc>
          <w:tcPr>
            <w:tcW w:w="400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1."/>
      <w:numFmt w:val="decimal"/>
      <w:start w:val="4"/>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0"/>
    </w:lvl>
  </w:abstractNum>
  <w:abstractNum w:abstractNumId="18">
    <w:nsid w:val="4B588F54"/>
    <w:multiLevelType w:val="hybridMultilevel"/>
    <w:lvl w:ilvl="0">
      <w:lvlJc w:val="left"/>
      <w:lvlText w:val="%1."/>
      <w:numFmt w:val="decimal"/>
      <w:start w:val="12"/>
    </w:lvl>
  </w:abstractNum>
  <w:abstractNum w:abstractNumId="19">
    <w:nsid w:val="542289EC"/>
    <w:multiLevelType w:val="hybridMultilevel"/>
    <w:lvl w:ilvl="0">
      <w:lvlJc w:val="left"/>
      <w:lvlText w:val="%1."/>
      <w:numFmt w:val="decimal"/>
      <w:start w:val="13"/>
    </w:lvl>
  </w:abstractNum>
  <w:abstractNum w:abstractNumId="20">
    <w:nsid w:val="6DE91B18"/>
    <w:multiLevelType w:val="hybridMultilevel"/>
    <w:lvl w:ilvl="0">
      <w:lvlJc w:val="left"/>
      <w:lvlText w:val="%1."/>
      <w:numFmt w:val="decimal"/>
      <w:start w:val="14"/>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1)"/>
      <w:numFmt w:val="decimal"/>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upperLetter"/>
      <w:start w:val="44"/>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1."/>
      <w:numFmt w:val="decimal"/>
      <w:start w:val="1"/>
    </w:lvl>
    <w:lvl w:ilvl="1">
      <w:lvlJc w:val="left"/>
      <w:lvlText w:val="%2."/>
      <w:numFmt w:val="lowerLetter"/>
      <w:start w:val="1"/>
    </w:lvl>
  </w:abstractNum>
  <w:abstractNum w:abstractNumId="51">
    <w:nsid w:val="7E0C57B1"/>
    <w:multiLevelType w:val="hybridMultilevel"/>
    <w:lvl w:ilvl="0">
      <w:lvlJc w:val="left"/>
      <w:lvlText w:val="%1"/>
      <w:numFmt w:val="decimal"/>
      <w:start w:val="1"/>
    </w:lvl>
    <w:lvl w:ilvl="1">
      <w:lvlJc w:val="left"/>
      <w:lvlText w:val="%2."/>
      <w:numFmt w:val="lowerLetter"/>
      <w:start w:val="2"/>
    </w:lvl>
  </w:abstractNum>
  <w:abstractNum w:abstractNumId="52">
    <w:nsid w:val="77AE35EB"/>
    <w:multiLevelType w:val="hybridMultilevel"/>
    <w:lvl w:ilvl="0">
      <w:lvlJc w:val="left"/>
      <w:lvlText w:val="%1."/>
      <w:numFmt w:val="decimal"/>
      <w:start w:val="3"/>
    </w:lvl>
    <w:lvl w:ilvl="1">
      <w:lvlJc w:val="left"/>
      <w:lvlText w:val="%2."/>
      <w:numFmt w:val="lowerLetter"/>
      <w:start w:val="5"/>
    </w:lvl>
  </w:abstractNum>
  <w:abstractNum w:abstractNumId="53">
    <w:nsid w:val="579BE4F1"/>
    <w:multiLevelType w:val="hybridMultilevel"/>
    <w:lvl w:ilvl="0">
      <w:lvlJc w:val="left"/>
      <w:lvlText w:val="%1."/>
      <w:numFmt w:val="decimal"/>
      <w:start w:val="4"/>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1"/>
    </w:lvl>
  </w:abstractNum>
  <w:abstractNum w:abstractNumId="59">
    <w:nsid w:val="4AD084E9"/>
    <w:multiLevelType w:val="hybridMultilevel"/>
    <w:lvl w:ilvl="0">
      <w:lvlJc w:val="left"/>
      <w:lvlText w:val="%1"/>
      <w:numFmt w:val="decimal"/>
      <w:start w:val="1"/>
    </w:lvl>
    <w:lvl w:ilvl="1">
      <w:lvlJc w:val="left"/>
      <w:lvlText w:val="%2."/>
      <w:numFmt w:val="lowerLetter"/>
      <w:start w:val="4"/>
    </w:lvl>
  </w:abstractNum>
  <w:abstractNum w:abstractNumId="60">
    <w:nsid w:val="1F48EAA1"/>
    <w:multiLevelType w:val="hybridMultilevel"/>
    <w:lvl w:ilvl="0">
      <w:lvlJc w:val="left"/>
      <w:lvlText w:val="(%1)"/>
      <w:numFmt w:val="decimal"/>
      <w:start w:val="3"/>
    </w:lvl>
    <w:lvl w:ilvl="1">
      <w:lvlJc w:val="left"/>
      <w:lvlText w:val="%2"/>
      <w:numFmt w:val="lowerLetter"/>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lowerLetter"/>
      <w:start w:val="1"/>
    </w:lvl>
    <w:lvl w:ilvl="1">
      <w:lvlJc w:val="left"/>
      <w:lvlText w:val="%2."/>
      <w:numFmt w:val="lowerLetter"/>
      <w:start w:val="9"/>
    </w:lvl>
  </w:abstractNum>
  <w:abstractNum w:abstractNumId="63">
    <w:nsid w:val="100F8FCA"/>
    <w:multiLevelType w:val="hybridMultilevel"/>
    <w:lvl w:ilvl="0">
      <w:lvlJc w:val="left"/>
      <w:lvlText w:val="%1"/>
      <w:numFmt w:val="decimal"/>
      <w:start w:val="1"/>
    </w:lvl>
    <w:lvl w:ilvl="1">
      <w:lvlJc w:val="left"/>
      <w:lvlText w:val="%2."/>
      <w:numFmt w:val="lowerRoman"/>
      <w:start w:val="2"/>
    </w:lvl>
  </w:abstractNum>
  <w:abstractNum w:abstractNumId="64">
    <w:nsid w:val="6590700B"/>
    <w:multiLevelType w:val="hybridMultilevel"/>
    <w:lvl w:ilvl="0">
      <w:lvlJc w:val="left"/>
      <w:lvlText w:val="(%1)"/>
      <w:numFmt w:val="decimal"/>
      <w:start w:val="3"/>
    </w:lvl>
    <w:lvl w:ilvl="1">
      <w:lvlJc w:val="left"/>
      <w:lvlText w:val="%2"/>
      <w:numFmt w:val="lowerRoman"/>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1."/>
      <w:numFmt w:val="decimal"/>
      <w:start w:val="5"/>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5"/>
    </w:lvl>
  </w:abstractNum>
  <w:abstractNum w:abstractNumId="72">
    <w:nsid w:val="1EBA5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2022-11-09T05:31:58Z</dcterms:created>
  <dcterms:modified xsi:type="dcterms:W3CDTF">2022-11-09T05:31:58Z</dcterms:modified>
</cp:coreProperties>
</file>