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592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Blankmeyer Andrea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UPSTART HOLDINGS,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2950 S. DELAWARE STREET, SUITE 410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Upstart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03/31/2026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38"/>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88"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MATEO</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94403</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4"/>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Times New Roman" w:cs="Times New Roman" w:eastAsia="Times New Roman" w:hAnsi="Times New Roman"/>
                <w:sz w:val="16"/>
                <w:szCs w:val="16"/>
                <w:color w:val="0000FF"/>
              </w:rPr>
              <w:t>03/31/2026</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169,427</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169,427</w:t>
            </w:r>
            <w:r>
              <w:rPr>
                <w:rFonts w:ascii="Times New Roman" w:cs="Times New Roman" w:eastAsia="Times New Roman" w:hAnsi="Times New Roman"/>
                <w:sz w:val="20"/>
                <w:szCs w:val="20"/>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w w:val="99"/>
              </w:rPr>
              <w:t>Price of</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03/31/2026</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148,006</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148,006</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148,006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Restricted</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our common stock. 40% of the RSUs shall vest quarterly in equal installments beginning on May 15, 2026, for 12 months. An additional 30% of the RSUs shall vest quarterly in equal installments for 12 months thereafter; 20% of the RSUs shall vest quarterly in equal installments for 12 months thereafter; and the remaining 10% of the RSUs shall vest quarterly in equal installments for 12 months thereafter, subject to continued service with us through each such date.</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Common Stock, subject to the applicable vesting schedule and conditions of each RSU.</w:t>
      </w:r>
    </w:p>
    <w:p>
      <w:pPr>
        <w:spacing w:after="0" w:line="39" w:lineRule="exact"/>
        <w:rPr>
          <w:rFonts w:ascii="Times New Roman" w:cs="Times New Roman" w:eastAsia="Times New Roman" w:hAnsi="Times New Roman"/>
          <w:sz w:val="13"/>
          <w:szCs w:val="13"/>
          <w:color w:val="008000"/>
        </w:rPr>
      </w:pPr>
    </w:p>
    <w:p>
      <w:pPr>
        <w:ind w:left="40" w:right="4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performance-based restricted stock units (PRSUs). Each PRSU represents a contingent right to receive one share of Common Stock in an amount from 0% to 300% of the target number of PRSUs granted. The actual number of PRSUs earned will be based, in part, upon achievement of certain TSR CAGR targets as of February 15, 2030 and subject to vesting on February 20, 2030, subject to the Reporting Person continuing as a service provider through such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3"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Steven Madrid, by power of</w:t>
            </w:r>
          </w:p>
        </w:tc>
        <w:tc>
          <w:tcPr>
            <w:tcW w:w="18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04/02/2026</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24464"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2026-04-02T15:48:50Z</dcterms:created>
  <dcterms:modified xsi:type="dcterms:W3CDTF">2026-04-02T15:48:50Z</dcterms:modified>
</cp:coreProperties>
</file>